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39BE4" w14:textId="1E23FFD1" w:rsidR="003E4A91" w:rsidRDefault="2E6B7528" w:rsidP="2D8A2F85">
      <w:pPr>
        <w:tabs>
          <w:tab w:val="right" w:pos="9356"/>
          <w:tab w:val="left" w:pos="9638"/>
        </w:tabs>
        <w:spacing w:after="120"/>
        <w:ind w:right="2"/>
        <w:jc w:val="both"/>
      </w:pPr>
      <w:r w:rsidRPr="2D8A2F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3GPP Conference Call </w:t>
      </w:r>
      <w:r w:rsidR="00350A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#1 </w:t>
      </w:r>
      <w:r w:rsidRPr="2D8A2F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on IMT-2030 </w:t>
      </w:r>
      <w:r w:rsidR="00042A15">
        <w:tab/>
      </w:r>
      <w:r w:rsidRPr="2D8A2F85">
        <w:rPr>
          <w:rFonts w:ascii="Times New Roman" w:eastAsia="Times New Roman" w:hAnsi="Times New Roman" w:cs="Times New Roman"/>
          <w:b/>
          <w:bCs/>
          <w:sz w:val="28"/>
          <w:szCs w:val="28"/>
        </w:rPr>
        <w:t>RP-25xxxx</w:t>
      </w:r>
    </w:p>
    <w:p w14:paraId="66F2D1F6" w14:textId="00E8C70B" w:rsidR="003E4A91" w:rsidRDefault="2E6B7528" w:rsidP="2D8A2F85">
      <w:pPr>
        <w:tabs>
          <w:tab w:val="right" w:pos="9356"/>
          <w:tab w:val="left" w:pos="9638"/>
        </w:tabs>
        <w:spacing w:after="120"/>
        <w:ind w:right="2"/>
        <w:jc w:val="both"/>
      </w:pPr>
      <w:r w:rsidRPr="2D8A2F85">
        <w:rPr>
          <w:rFonts w:ascii="Times New Roman" w:eastAsia="Times New Roman" w:hAnsi="Times New Roman" w:cs="Times New Roman"/>
          <w:b/>
          <w:bCs/>
          <w:sz w:val="28"/>
          <w:szCs w:val="28"/>
        </w:rPr>
        <w:t>April 29th, 2025</w:t>
      </w:r>
    </w:p>
    <w:p w14:paraId="11CD2BAA" w14:textId="177A794F" w:rsidR="003E4A91" w:rsidRDefault="2E6B7528" w:rsidP="2D8A2F85">
      <w:pPr>
        <w:tabs>
          <w:tab w:val="left" w:pos="1800"/>
          <w:tab w:val="right" w:pos="9071"/>
        </w:tabs>
        <w:spacing w:after="120"/>
        <w:ind w:left="1800" w:hanging="1800"/>
        <w:jc w:val="both"/>
      </w:pPr>
      <w:r w:rsidRPr="2D8A2F85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</w:p>
    <w:p w14:paraId="4BC9313E" w14:textId="09A20092" w:rsidR="003E4A91" w:rsidRDefault="2E6B7528" w:rsidP="2D8A2F85">
      <w:pPr>
        <w:tabs>
          <w:tab w:val="left" w:pos="1800"/>
          <w:tab w:val="right" w:pos="9071"/>
        </w:tabs>
        <w:spacing w:after="120"/>
        <w:ind w:left="1800" w:hanging="1800"/>
        <w:jc w:val="both"/>
      </w:pPr>
      <w:r w:rsidRPr="2D8A2F85">
        <w:rPr>
          <w:rFonts w:ascii="Times New Roman" w:eastAsia="Times New Roman" w:hAnsi="Times New Roman" w:cs="Times New Roman"/>
          <w:b/>
          <w:bCs/>
          <w:sz w:val="22"/>
          <w:szCs w:val="22"/>
        </w:rPr>
        <w:t>Source:</w:t>
      </w:r>
      <w:r w:rsidR="00042A15">
        <w:tab/>
      </w:r>
      <w:r w:rsidRPr="2D8A2F85">
        <w:rPr>
          <w:rFonts w:ascii="Times New Roman" w:eastAsia="Times New Roman" w:hAnsi="Times New Roman" w:cs="Times New Roman"/>
          <w:b/>
          <w:bCs/>
          <w:sz w:val="22"/>
          <w:szCs w:val="22"/>
        </w:rPr>
        <w:t>Indian Institute of Technology (Madras), CEWiT, IIT Kanpur, Tejas Networks, Indian Institute of Technology (Hyderabad), WiSig Networks</w:t>
      </w:r>
    </w:p>
    <w:p w14:paraId="6CF1D4A1" w14:textId="50CC7B3F" w:rsidR="003E4A91" w:rsidRDefault="2E6B7528" w:rsidP="2D8A2F85">
      <w:pPr>
        <w:tabs>
          <w:tab w:val="left" w:pos="2021"/>
          <w:tab w:val="right" w:pos="9071"/>
        </w:tabs>
        <w:spacing w:after="120"/>
        <w:ind w:left="1826" w:hanging="1826"/>
        <w:jc w:val="both"/>
      </w:pPr>
      <w:r w:rsidRPr="2D8A2F85">
        <w:rPr>
          <w:rFonts w:ascii="Times New Roman" w:eastAsia="Times New Roman" w:hAnsi="Times New Roman" w:cs="Times New Roman"/>
          <w:b/>
          <w:bCs/>
          <w:sz w:val="22"/>
          <w:szCs w:val="22"/>
        </w:rPr>
        <w:t>Title:</w:t>
      </w:r>
      <w:r w:rsidR="00042A15">
        <w:tab/>
      </w:r>
      <w:r w:rsidRPr="2D8A2F85">
        <w:rPr>
          <w:rFonts w:ascii="Times New Roman" w:eastAsia="Times New Roman" w:hAnsi="Times New Roman" w:cs="Times New Roman"/>
          <w:b/>
          <w:bCs/>
          <w:sz w:val="22"/>
          <w:szCs w:val="22"/>
        </w:rPr>
        <w:t>Views on the study of IMT-2030 requirements</w:t>
      </w:r>
    </w:p>
    <w:p w14:paraId="6C9BFD39" w14:textId="73D9EE24" w:rsidR="003E4A91" w:rsidRDefault="2E6B7528" w:rsidP="2D8A2F85">
      <w:pPr>
        <w:tabs>
          <w:tab w:val="left" w:pos="1800"/>
          <w:tab w:val="center" w:pos="4535"/>
          <w:tab w:val="right" w:pos="9071"/>
        </w:tabs>
        <w:spacing w:after="120"/>
        <w:jc w:val="both"/>
      </w:pPr>
      <w:r w:rsidRPr="2D8A2F85">
        <w:rPr>
          <w:rFonts w:ascii="Times New Roman" w:eastAsia="Times New Roman" w:hAnsi="Times New Roman" w:cs="Times New Roman"/>
          <w:b/>
          <w:bCs/>
          <w:sz w:val="22"/>
          <w:szCs w:val="22"/>
        </w:rPr>
        <w:t>Agenda Item:         16 – Study on 6G Scenarios and Requirements</w:t>
      </w:r>
    </w:p>
    <w:p w14:paraId="13745A72" w14:textId="5133D69A" w:rsidR="003E4A91" w:rsidRDefault="2E6B7528" w:rsidP="2D8A2F85">
      <w:pPr>
        <w:tabs>
          <w:tab w:val="left" w:pos="1800"/>
          <w:tab w:val="center" w:pos="4535"/>
          <w:tab w:val="right" w:pos="9071"/>
        </w:tabs>
        <w:spacing w:after="120"/>
        <w:jc w:val="both"/>
      </w:pPr>
      <w:r w:rsidRPr="2D8A2F85">
        <w:rPr>
          <w:rFonts w:ascii="Times New Roman" w:eastAsia="Times New Roman" w:hAnsi="Times New Roman" w:cs="Times New Roman"/>
          <w:b/>
          <w:bCs/>
          <w:sz w:val="22"/>
          <w:szCs w:val="22"/>
        </w:rPr>
        <w:t>Document for:       Discussion and Decision</w:t>
      </w:r>
    </w:p>
    <w:p w14:paraId="21DCF057" w14:textId="434F8A5A" w:rsidR="003E4A91" w:rsidRDefault="003E4A91" w:rsidP="2D8A2F85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9A704CA" w14:textId="2A4E60D7" w:rsidR="003E4A91" w:rsidRDefault="2D8A2F85" w:rsidP="2D8A2F85">
      <w:pPr>
        <w:pStyle w:val="Heading1"/>
        <w:rPr>
          <w:rFonts w:ascii="Times New Roman" w:eastAsia="Times New Roman" w:hAnsi="Times New Roman" w:cs="Times New Roman"/>
          <w:color w:val="auto"/>
          <w:lang w:val="en-GB"/>
        </w:rPr>
      </w:pPr>
      <w:r w:rsidRPr="2D8A2F85">
        <w:rPr>
          <w:rFonts w:ascii="Times New Roman" w:eastAsia="Times New Roman" w:hAnsi="Times New Roman" w:cs="Times New Roman"/>
          <w:color w:val="auto"/>
          <w:lang w:val="en-GB"/>
        </w:rPr>
        <w:t xml:space="preserve">1. </w:t>
      </w:r>
      <w:r w:rsidR="2E6B7528" w:rsidRPr="2D8A2F85">
        <w:rPr>
          <w:rFonts w:ascii="Times New Roman" w:eastAsia="Times New Roman" w:hAnsi="Times New Roman" w:cs="Times New Roman"/>
          <w:color w:val="auto"/>
          <w:lang w:val="en-GB"/>
        </w:rPr>
        <w:t>Introduction</w:t>
      </w:r>
    </w:p>
    <w:p w14:paraId="288BB6D4" w14:textId="35965DEE" w:rsidR="003E4A91" w:rsidRDefault="2E6B7528" w:rsidP="2D8A2F85">
      <w:pPr>
        <w:spacing w:before="120" w:after="120"/>
        <w:jc w:val="both"/>
      </w:pPr>
      <w:r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>In RAN #107:</w:t>
      </w:r>
    </w:p>
    <w:p w14:paraId="18586169" w14:textId="1BE5E505" w:rsidR="003E4A91" w:rsidRDefault="2E6B7528" w:rsidP="2D8A2F85">
      <w:pPr>
        <w:pStyle w:val="ListParagraph"/>
        <w:numPr>
          <w:ilvl w:val="0"/>
          <w:numId w:val="8"/>
        </w:num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>Progress was made on the list and definitions of some of the TPRs, along with discussions on target values</w:t>
      </w:r>
    </w:p>
    <w:p w14:paraId="3CE5DF7D" w14:textId="769B7E63" w:rsidR="003E4A91" w:rsidRDefault="2E6B7528" w:rsidP="2D8A2F85">
      <w:pPr>
        <w:pStyle w:val="ListParagraph"/>
        <w:numPr>
          <w:ilvl w:val="0"/>
          <w:numId w:val="8"/>
        </w:num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>It was agreed to hold two conference calls to facilitate discussions between RAN #107 and RAN #108</w:t>
      </w:r>
    </w:p>
    <w:p w14:paraId="6674CA3C" w14:textId="7A810D0C" w:rsidR="003E4A91" w:rsidRDefault="3A9232AF" w:rsidP="2D8A2F85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RAN #107, we provided our view in </w:t>
      </w:r>
      <w:r w:rsidRPr="2D8A2F8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RP-250153. </w:t>
      </w:r>
      <w:r w:rsidR="2E6B7528"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this contribution, we provide our </w:t>
      </w:r>
      <w:r w:rsidR="14A473F9"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updated </w:t>
      </w:r>
      <w:r w:rsidR="2E6B7528"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views </w:t>
      </w:r>
      <w:r w:rsidR="552ABC7C"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CC1 </w:t>
      </w:r>
      <w:r w:rsidR="2E6B7528"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>on:</w:t>
      </w:r>
    </w:p>
    <w:p w14:paraId="7172C824" w14:textId="6672249F" w:rsidR="003E4A91" w:rsidRDefault="2E6B7528" w:rsidP="2D8A2F85">
      <w:pPr>
        <w:pStyle w:val="ListParagraph"/>
        <w:numPr>
          <w:ilvl w:val="0"/>
          <w:numId w:val="7"/>
        </w:num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>Possible target values for legacy TPRs</w:t>
      </w:r>
    </w:p>
    <w:p w14:paraId="30372F76" w14:textId="6D3D48DC" w:rsidR="003E4A91" w:rsidRDefault="2E6B7528" w:rsidP="2D8A2F85">
      <w:pPr>
        <w:pStyle w:val="ListParagraph"/>
        <w:numPr>
          <w:ilvl w:val="0"/>
          <w:numId w:val="7"/>
        </w:num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2D8A2F85">
        <w:rPr>
          <w:rFonts w:ascii="Times New Roman" w:eastAsia="Times New Roman" w:hAnsi="Times New Roman" w:cs="Times New Roman"/>
          <w:sz w:val="20"/>
          <w:szCs w:val="20"/>
          <w:lang w:val="en-GB"/>
        </w:rPr>
        <w:t>Definition and possible evaluation methodology for the Coverage TPR</w:t>
      </w:r>
    </w:p>
    <w:p w14:paraId="0D31EFEF" w14:textId="2245661E" w:rsidR="003E4A91" w:rsidRDefault="2D8A2F85" w:rsidP="2D8A2F85">
      <w:pPr>
        <w:pStyle w:val="Heading1"/>
        <w:rPr>
          <w:rFonts w:ascii="Times New Roman" w:eastAsia="Times New Roman" w:hAnsi="Times New Roman" w:cs="Times New Roman"/>
          <w:color w:val="auto"/>
          <w:lang w:val="en-GB"/>
        </w:rPr>
      </w:pPr>
      <w:r w:rsidRPr="2D8A2F85">
        <w:rPr>
          <w:rFonts w:ascii="Times New Roman" w:eastAsia="Times New Roman" w:hAnsi="Times New Roman" w:cs="Times New Roman"/>
          <w:color w:val="auto"/>
          <w:lang w:val="en-GB"/>
        </w:rPr>
        <w:t xml:space="preserve">2. </w:t>
      </w:r>
      <w:r w:rsidR="5AAD675E" w:rsidRPr="2D8A2F85">
        <w:rPr>
          <w:rFonts w:ascii="Times New Roman" w:eastAsia="Times New Roman" w:hAnsi="Times New Roman" w:cs="Times New Roman"/>
          <w:color w:val="auto"/>
          <w:lang w:val="en-GB"/>
        </w:rPr>
        <w:t>Target values for legacy TPRs</w:t>
      </w:r>
    </w:p>
    <w:p w14:paraId="0A8A843F" w14:textId="3177418E" w:rsidR="003E4A91" w:rsidRPr="00136F21" w:rsidRDefault="5AAD675E" w:rsidP="2D8A2F85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36F2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Our views on the target values for the legacy TPRs are shown in the </w:t>
      </w:r>
      <w:r w:rsidR="00850C1D" w:rsidRPr="00136F2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table </w:t>
      </w:r>
      <w:r w:rsidRPr="00136F2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below. </w:t>
      </w:r>
    </w:p>
    <w:p w14:paraId="693DED34" w14:textId="735DF725" w:rsidR="00850C1D" w:rsidRPr="00850C1D" w:rsidRDefault="00850C1D" w:rsidP="00850C1D">
      <w:pPr>
        <w:pStyle w:val="Caption"/>
        <w:keepNext/>
        <w:jc w:val="center"/>
        <w:rPr>
          <w:rFonts w:ascii="Times New Roman" w:hAnsi="Times New Roman" w:cs="Times New Roman"/>
          <w:color w:val="000000" w:themeColor="text1"/>
        </w:rPr>
      </w:pPr>
      <w:r w:rsidRPr="00850C1D">
        <w:rPr>
          <w:rFonts w:ascii="Times New Roman" w:hAnsi="Times New Roman" w:cs="Times New Roman"/>
          <w:color w:val="000000" w:themeColor="text1"/>
        </w:rPr>
        <w:t xml:space="preserve">Table </w:t>
      </w:r>
      <w:r w:rsidRPr="00850C1D">
        <w:rPr>
          <w:rFonts w:ascii="Times New Roman" w:hAnsi="Times New Roman" w:cs="Times New Roman"/>
          <w:color w:val="000000" w:themeColor="text1"/>
        </w:rPr>
        <w:fldChar w:fldCharType="begin"/>
      </w:r>
      <w:r w:rsidRPr="00850C1D">
        <w:rPr>
          <w:rFonts w:ascii="Times New Roman" w:hAnsi="Times New Roman" w:cs="Times New Roman"/>
          <w:color w:val="000000" w:themeColor="text1"/>
        </w:rPr>
        <w:instrText xml:space="preserve"> SEQ Table \* ARABIC </w:instrText>
      </w:r>
      <w:r w:rsidRPr="00850C1D">
        <w:rPr>
          <w:rFonts w:ascii="Times New Roman" w:hAnsi="Times New Roman" w:cs="Times New Roman"/>
          <w:color w:val="000000" w:themeColor="text1"/>
        </w:rPr>
        <w:fldChar w:fldCharType="separate"/>
      </w:r>
      <w:r w:rsidRPr="00850C1D">
        <w:rPr>
          <w:rFonts w:ascii="Times New Roman" w:hAnsi="Times New Roman" w:cs="Times New Roman"/>
          <w:noProof/>
          <w:color w:val="000000" w:themeColor="text1"/>
        </w:rPr>
        <w:t>1</w:t>
      </w:r>
      <w:r w:rsidRPr="00850C1D">
        <w:rPr>
          <w:rFonts w:ascii="Times New Roman" w:hAnsi="Times New Roman" w:cs="Times New Roman"/>
          <w:color w:val="000000" w:themeColor="text1"/>
        </w:rPr>
        <w:fldChar w:fldCharType="end"/>
      </w:r>
      <w:r w:rsidRPr="00850C1D">
        <w:rPr>
          <w:rFonts w:ascii="Times New Roman" w:hAnsi="Times New Roman" w:cs="Times New Roman"/>
          <w:color w:val="000000" w:themeColor="text1"/>
        </w:rPr>
        <w:t>: Our views on target values for legacy TPRs</w:t>
      </w:r>
    </w:p>
    <w:tbl>
      <w:tblPr>
        <w:tblStyle w:val="TableGrid"/>
        <w:tblW w:w="9523" w:type="dxa"/>
        <w:tblLayout w:type="fixed"/>
        <w:tblLook w:val="04A0" w:firstRow="1" w:lastRow="0" w:firstColumn="1" w:lastColumn="0" w:noHBand="0" w:noVBand="1"/>
      </w:tblPr>
      <w:tblGrid>
        <w:gridCol w:w="685"/>
        <w:gridCol w:w="846"/>
        <w:gridCol w:w="1493"/>
        <w:gridCol w:w="2160"/>
        <w:gridCol w:w="2046"/>
        <w:gridCol w:w="2293"/>
      </w:tblGrid>
      <w:tr w:rsidR="2D8A2F85" w14:paraId="5140DE0E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03441F" w14:textId="4981EB8B" w:rsidR="2D8A2F85" w:rsidRPr="00136F21" w:rsidRDefault="2D8A2F85" w:rsidP="2D8A2F85">
            <w:pPr>
              <w:spacing w:after="120"/>
              <w:jc w:val="center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ITU IMT-2030 TPR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C470E2" w14:textId="08C9EBA5" w:rsidR="2D8A2F85" w:rsidRPr="00136F21" w:rsidRDefault="2D8A2F85" w:rsidP="2D8A2F85">
            <w:pPr>
              <w:spacing w:after="120"/>
              <w:jc w:val="center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IMT-2020 Value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424108" w14:textId="535E2D5C" w:rsidR="2D8A2F85" w:rsidRPr="00136F21" w:rsidRDefault="2D8A2F85" w:rsidP="2D8A2F85">
            <w:pPr>
              <w:spacing w:after="120"/>
              <w:jc w:val="center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Values proposed in this meeting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E354DE" w14:textId="3ACC283B" w:rsidR="2D8A2F85" w:rsidRPr="00136F21" w:rsidRDefault="2D8A2F85" w:rsidP="2D8A2F85">
            <w:pPr>
              <w:spacing w:after="120"/>
              <w:jc w:val="center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Moderator proposal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8560CF" w14:textId="6D899F27" w:rsidR="16393C9C" w:rsidRPr="00136F21" w:rsidRDefault="16393C9C" w:rsidP="2D8A2F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Our view</w:t>
            </w:r>
          </w:p>
        </w:tc>
      </w:tr>
      <w:tr w:rsidR="2D8A2F85" w14:paraId="57D2A605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236D2B" w14:textId="5E229B58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Peak data rate (Gbit/s)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BFE8A7" w14:textId="1D137BAC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DL: 20</w:t>
            </w:r>
          </w:p>
          <w:p w14:paraId="00737922" w14:textId="57EE87C3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UL: 10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DC2BF0" w14:textId="1D65BCFE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[1~10x] of IMT-2020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1E61C0" w14:textId="7C4B458E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TBD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D0B742" w14:textId="60F6957F" w:rsidR="76D0E175" w:rsidRPr="00136F21" w:rsidRDefault="76D0E175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1-</w:t>
            </w:r>
            <w:r w:rsidR="76457ABF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  <w:r w:rsidR="00A71F4F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="76457ABF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76457ABF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compared to IMT-2020</w:t>
            </w:r>
            <w:r w:rsidR="41B2F28A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The proponent </w:t>
            </w:r>
            <w:r w:rsidR="00DE018A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shall</w:t>
            </w:r>
            <w:r w:rsidR="41B2F28A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report the bandwidth used in the calculation.</w:t>
            </w:r>
          </w:p>
        </w:tc>
      </w:tr>
      <w:tr w:rsidR="2D8A2F85" w14:paraId="7FCB6EF2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E4212F" w14:textId="6E125BDC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Peak spectral efficiency (bit/s/Hz)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8AEA4C" w14:textId="162BD1AB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DL: 30</w:t>
            </w:r>
          </w:p>
          <w:p w14:paraId="6E6B2F93" w14:textId="0D512006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UL: 15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8F406C" w14:textId="210CD19B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[1~3x] of IMT-2020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A89B7F" w14:textId="7932666D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[2x] of IMT-2020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6B746E" w14:textId="796583F3" w:rsidR="3108F554" w:rsidRPr="00136F21" w:rsidRDefault="3108F554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1-</w:t>
            </w:r>
            <w:r w:rsidR="609EFE10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  <w:r w:rsidR="7A2B21C5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="609EFE10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compared to IMT-2020</w:t>
            </w:r>
          </w:p>
          <w:p w14:paraId="0295478F" w14:textId="702B5915" w:rsidR="2D8A2F85" w:rsidRPr="00136F21" w:rsidRDefault="2D8A2F85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2D8A2F85" w14:paraId="0415CA59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AD7EBA" w14:textId="42C74559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User experienced data rate (Mbit/s)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34B2B0" w14:textId="218369B1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DL: 100</w:t>
            </w:r>
          </w:p>
          <w:p w14:paraId="2958D9E5" w14:textId="5FF46283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UL: 50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508B9E" w14:textId="59BF3441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DL: [1.25~10x] of IMT-2020</w:t>
            </w:r>
          </w:p>
          <w:p w14:paraId="36A4BFC7" w14:textId="6DFE447C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UL: [1.25~4x] of IMT-2020</w:t>
            </w:r>
          </w:p>
          <w:p w14:paraId="190084FE" w14:textId="4A5AF57F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13615EB" w14:textId="79AF20FD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2 contributions propose to revisit the evaluation methodology before setting values:</w:t>
            </w:r>
          </w:p>
          <w:p w14:paraId="2CB1F91C" w14:textId="0396DD67" w:rsidR="2D8A2F85" w:rsidRPr="00136F21" w:rsidRDefault="2D8A2F85" w:rsidP="2D8A2F85">
            <w:pPr>
              <w:pStyle w:val="ListParagraph"/>
              <w:numPr>
                <w:ilvl w:val="0"/>
                <w:numId w:val="4"/>
              </w:numPr>
              <w:ind w:left="440" w:hanging="4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Bandwidth scaling of simulation results for the UL User Experienced Data Rate performance should NOT be used.</w:t>
            </w:r>
          </w:p>
          <w:p w14:paraId="6EF147C7" w14:textId="1FCFC725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E4C6C8" w14:textId="3A606E7A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DL: TBD</w:t>
            </w:r>
          </w:p>
          <w:p w14:paraId="1C7205D4" w14:textId="74835F02" w:rsidR="2D8A2F85" w:rsidRPr="00136F21" w:rsidRDefault="2D8A2F85" w:rsidP="2D8A2F85">
            <w:pPr>
              <w:spacing w:after="120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UL: 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>Revisit the evaluation methodology before setting values</w:t>
            </w:r>
          </w:p>
          <w:p w14:paraId="1AD1F369" w14:textId="27B0DC6B" w:rsidR="2D8A2F85" w:rsidRPr="00136F21" w:rsidRDefault="2D8A2F85" w:rsidP="2D8A2F85">
            <w:pPr>
              <w:spacing w:after="120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>Further discuss applicable deployment scenarios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89F3407" w14:textId="543BF5E1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7483F0" w14:textId="45D094FB" w:rsidR="080202C9" w:rsidRPr="00136F21" w:rsidRDefault="080202C9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DL: 1-1.5x</w:t>
            </w:r>
            <w:r w:rsidR="40E0A1A9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compared to IMT-2020</w:t>
            </w:r>
          </w:p>
          <w:p w14:paraId="762B7A87" w14:textId="1E53D1C3" w:rsidR="080202C9" w:rsidRPr="00136F21" w:rsidRDefault="080202C9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UL: 2x</w:t>
            </w:r>
            <w:r w:rsidR="6C1C36BC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compared to IMT-2020</w:t>
            </w:r>
            <w:r w:rsidRPr="00136F21">
              <w:rPr>
                <w:sz w:val="20"/>
                <w:szCs w:val="20"/>
              </w:rPr>
              <w:br/>
            </w:r>
            <w:r w:rsidR="6C1C36BC" w:rsidRPr="00136F2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Note 1:</w:t>
            </w:r>
            <w:r w:rsidR="6C1C36BC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U</w:t>
            </w:r>
            <w:r w:rsidR="4D044D00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biquitous </w:t>
            </w:r>
            <w:r w:rsidR="6C1C36BC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 w:rsidR="73660DEC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onnectivity</w:t>
            </w:r>
            <w:r w:rsidR="6C1C36BC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, lower values compared to IMT-2020 can be considered.</w:t>
            </w:r>
            <w:r w:rsidR="00AD0085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D0085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For example: DL: 6 Mbit/s, UL: 4 Mbit/s</w:t>
            </w:r>
          </w:p>
          <w:p w14:paraId="23BB3689" w14:textId="12A659B5" w:rsidR="6C1C36BC" w:rsidRPr="00136F21" w:rsidRDefault="6C1C36BC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Note 2: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general, we agree with the potential issues of bandwidth scaling</w:t>
            </w:r>
            <w:r w:rsidR="0167A916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, particularly in the uplink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48BCA476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Having said that, w</w:t>
            </w:r>
            <w:r w:rsidR="35063B5A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e think that band</w:t>
            </w:r>
            <w:r w:rsidR="2526B321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width scaling can be applied in scenarios where the bands being aggregated are in the same frequency range. </w:t>
            </w:r>
          </w:p>
        </w:tc>
      </w:tr>
      <w:tr w:rsidR="2D8A2F85" w14:paraId="6CA1322F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7B92AF" w14:textId="481643EC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5th percentile user spectral</w:t>
            </w:r>
          </w:p>
          <w:p w14:paraId="0EF57FE4" w14:textId="687A6FD5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efficiency (bit/s/Hz)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4AE40B" w14:textId="434859A7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Indoor Hotspot-eMBB:</w:t>
            </w:r>
          </w:p>
          <w:p w14:paraId="61E176CE" w14:textId="590DE679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DL: 0.3</w:t>
            </w:r>
          </w:p>
          <w:p w14:paraId="1494B1E3" w14:textId="323E7D97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UL: 0.21</w:t>
            </w:r>
          </w:p>
          <w:p w14:paraId="42AA5441" w14:textId="5B1206C3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Dense Urban - eMBB: </w:t>
            </w:r>
          </w:p>
          <w:p w14:paraId="4E2D69C8" w14:textId="12DB88B4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DL: 0.225</w:t>
            </w:r>
          </w:p>
          <w:p w14:paraId="7F6C44FC" w14:textId="274C5798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UL: 0.15</w:t>
            </w:r>
          </w:p>
          <w:p w14:paraId="424CD167" w14:textId="4F0CB1D2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Rural-eMBB:</w:t>
            </w:r>
          </w:p>
          <w:p w14:paraId="315FDF51" w14:textId="6C4B0913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DL: 0.12</w:t>
            </w:r>
          </w:p>
          <w:p w14:paraId="600EE74A" w14:textId="3BE1B0D8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UL: 0.045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BEC407" w14:textId="35FA48DB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[1.5~5x] of IMT-2020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4CE24E" w14:textId="29D34EB7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3900E6B" w14:textId="743827E7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[3x] of IMT-2020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BB039A" w14:textId="4B928C83" w:rsidR="75088275" w:rsidRPr="00136F21" w:rsidRDefault="75088275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DL: </w:t>
            </w:r>
            <w:r w:rsidR="3BDBA865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1.5x compared to IMT-2020</w:t>
            </w:r>
          </w:p>
          <w:p w14:paraId="568C420B" w14:textId="77777777" w:rsidR="3E7940ED" w:rsidRPr="00136F21" w:rsidRDefault="3E7940ED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UL: 2x compared to IMT-2020</w:t>
            </w:r>
          </w:p>
          <w:p w14:paraId="68AB737F" w14:textId="5DCE9721" w:rsidR="00AD0085" w:rsidRPr="00136F21" w:rsidRDefault="00AD0085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Note 1: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Ubiquitous Connectivity, lower values compared to IMT-2020 can be considered.</w:t>
            </w:r>
          </w:p>
        </w:tc>
      </w:tr>
      <w:tr w:rsidR="2D8A2F85" w14:paraId="4F22BA4F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64409F" w14:textId="786CE1A1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Average spectral efficiency (bit/s/Hz)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CAFA34" w14:textId="34E8D903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Indoor Hotspot - eMBB: </w:t>
            </w:r>
          </w:p>
          <w:p w14:paraId="767E026E" w14:textId="701BC7D2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DL: 9; </w:t>
            </w:r>
          </w:p>
          <w:p w14:paraId="555B8458" w14:textId="6AC52E59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UL: 6.75</w:t>
            </w:r>
          </w:p>
          <w:p w14:paraId="3705932F" w14:textId="1D9841F1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Dense Urban - eMBB: </w:t>
            </w:r>
          </w:p>
          <w:p w14:paraId="65D8929D" w14:textId="2BE983E3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DL: 7.8; </w:t>
            </w:r>
          </w:p>
          <w:p w14:paraId="3A50BC8C" w14:textId="785A3D9C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UL: 5.4</w:t>
            </w:r>
          </w:p>
          <w:p w14:paraId="07034BBE" w14:textId="38DF56C6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Rural - eMBB:</w:t>
            </w:r>
          </w:p>
          <w:p w14:paraId="5A8DD028" w14:textId="07C5F0DD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DL: 3.3; </w:t>
            </w:r>
          </w:p>
          <w:p w14:paraId="0CF7A494" w14:textId="00D33623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UL: 1.6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A0AFB2" w14:textId="3AF83C69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[1.5~5x] of IMT-2020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9A5D95" w14:textId="0E19D101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[3x] of IMT-2020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3F203C" w14:textId="1F47ECE8" w:rsidR="2A519B20" w:rsidRPr="00136F21" w:rsidRDefault="2A519B20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1.5x compared to IMT-2020</w:t>
            </w:r>
            <w:r w:rsidR="2342CC48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both UL and DL</w:t>
            </w:r>
          </w:p>
          <w:p w14:paraId="2AF84C1D" w14:textId="2556D118" w:rsidR="2D8A2F85" w:rsidRPr="00136F21" w:rsidRDefault="002268F6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Note 1: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Ubiquitous Connectivity, lower values compared to IMT-2020 can be considered.</w:t>
            </w:r>
          </w:p>
        </w:tc>
      </w:tr>
      <w:tr w:rsidR="2D8A2F85" w14:paraId="2D2FBF1D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955342" w14:textId="45CE12A4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Area traffic capacity (Mbit/s/m²)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5CABDD" w14:textId="6C1BBCFE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DL: 10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9CB24A" w14:textId="7FB52B7D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[1~10x] of IMT-2020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6C8B32" w14:textId="73FE0DCF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[10]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7B3353" w14:textId="2793D7D7" w:rsidR="78DA8866" w:rsidRPr="00136F21" w:rsidRDefault="78DA8866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2-3x compared to IMT-2020</w:t>
            </w:r>
          </w:p>
        </w:tc>
      </w:tr>
      <w:tr w:rsidR="2D8A2F85" w14:paraId="23A30484" w14:textId="77777777" w:rsidTr="00850C1D">
        <w:trPr>
          <w:trHeight w:val="300"/>
        </w:trPr>
        <w:tc>
          <w:tcPr>
            <w:tcW w:w="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C35364" w14:textId="281DE122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latency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37E3BD" w14:textId="3B4A49F9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User plane latency (ms)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0C2E16" w14:textId="652D559F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eMBB: 4</w:t>
            </w:r>
          </w:p>
          <w:p w14:paraId="5F978029" w14:textId="2773D7F7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URLLC: 1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20357B" w14:textId="7F72F14D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eMBB: [1~4]</w:t>
            </w:r>
          </w:p>
          <w:p w14:paraId="2A71A937" w14:textId="10BE843F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HRLLC: [0.1~1]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D3E2FC" w14:textId="5464DFF6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TBD</w:t>
            </w:r>
          </w:p>
          <w:p w14:paraId="75C603DA" w14:textId="4E5F15AC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86788B" w14:textId="59EB8C8D" w:rsidR="7E6DFD1B" w:rsidRPr="00136F21" w:rsidRDefault="7E6DFD1B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IC: 1-4 ms</w:t>
            </w:r>
          </w:p>
          <w:p w14:paraId="4F429FCE" w14:textId="07DF49DB" w:rsidR="7E6DFD1B" w:rsidRPr="00136F21" w:rsidRDefault="7E6DFD1B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HRLLC: </w:t>
            </w:r>
            <w:r w:rsidR="335CF2B5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0.5-1 ms</w:t>
            </w:r>
          </w:p>
        </w:tc>
      </w:tr>
      <w:tr w:rsidR="2D8A2F85" w14:paraId="018BDE1F" w14:textId="77777777" w:rsidTr="00850C1D">
        <w:trPr>
          <w:trHeight w:val="300"/>
        </w:trPr>
        <w:tc>
          <w:tcPr>
            <w:tcW w:w="68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CB0B0F2" w14:textId="77777777" w:rsidR="003E4A91" w:rsidRPr="00136F21" w:rsidRDefault="003E4A91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C23C0B" w14:textId="6E664E65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Control plane 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latency (ms)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2A3CFF" w14:textId="1C774E41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3BE6D1" w14:textId="1C8FDDCC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[5~20]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7395AC" w14:textId="254FBF0D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TBD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DA1CCF" w14:textId="096532A8" w:rsidR="327781A3" w:rsidRPr="00136F21" w:rsidRDefault="327781A3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751F5B96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-20 ms</w:t>
            </w:r>
          </w:p>
        </w:tc>
      </w:tr>
      <w:tr w:rsidR="2D8A2F85" w14:paraId="24F2A00E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CE81D8" w14:textId="4DFB83F1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Connection density (devices/km²)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0DBCE1" w14:textId="3D8E21F1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10⁶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683563" w14:textId="0F2C277C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[1~100x] of IMT-2020</w:t>
            </w:r>
          </w:p>
          <w:p w14:paraId="4154F6CC" w14:textId="7123069C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B6F704" w14:textId="71D615F6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[10x] of IMT-2020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EEA5F" w14:textId="07CB7DBC" w:rsidR="32680C39" w:rsidRPr="00136F21" w:rsidRDefault="32680C39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2DA79393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-10x compared to IMT-2020</w:t>
            </w:r>
          </w:p>
        </w:tc>
      </w:tr>
      <w:tr w:rsidR="2D8A2F85" w14:paraId="1589F862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6EE580" w14:textId="0D68C57D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7076CE" w14:textId="0A35EA54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- 10</w:t>
            </w:r>
            <w:r w:rsidRPr="00136F21">
              <w:rPr>
                <w:rFonts w:ascii="Cambria Math" w:eastAsia="Cambria Math" w:hAnsi="Cambria Math" w:cs="Cambria Math"/>
                <w:sz w:val="20"/>
                <w:szCs w:val="20"/>
              </w:rPr>
              <w:t>⁻⁵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DD2E47" w14:textId="5D342445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[1~100x] of IMT-2020</w:t>
            </w:r>
          </w:p>
          <w:p w14:paraId="058D9DC8" w14:textId="2BF69907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B5D9D0" w14:textId="319E2A93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[1-10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-5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ABA29B" w14:textId="4B883E1B" w:rsidR="42AC2CCE" w:rsidRPr="00136F21" w:rsidRDefault="42AC2CCE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1-10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−5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1-10</w:t>
            </w: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−</w:t>
            </w:r>
            <w:r w:rsidR="6437FA40" w:rsidRPr="00136F2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</w:tr>
      <w:tr w:rsidR="2D8A2F85" w14:paraId="6E4BB5BE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78C6BA" w14:textId="6626E64D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Mobility (bit/s/Hz @ km/h)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F27E68" w14:textId="4D19C8BA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Indoor Hotspot-eMBB:</w:t>
            </w:r>
          </w:p>
          <w:p w14:paraId="546A404E" w14:textId="3A7D10DF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1.5 @10 km/h</w:t>
            </w:r>
          </w:p>
          <w:p w14:paraId="0280F463" w14:textId="4CA2DAC9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5FF9370" w14:textId="68D1FC19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Dense Urban- eMBB:</w:t>
            </w:r>
          </w:p>
          <w:p w14:paraId="535FECB1" w14:textId="419A3F25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1.12 @30 km/h</w:t>
            </w:r>
          </w:p>
          <w:p w14:paraId="3E4D0A5E" w14:textId="792B9630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5469C377" w14:textId="5F648718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Rural-eMBB:</w:t>
            </w:r>
          </w:p>
          <w:p w14:paraId="7EE32CF1" w14:textId="5DD80759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0.8 @120 km/h</w:t>
            </w:r>
          </w:p>
          <w:p w14:paraId="7A296520" w14:textId="2F3221B2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0.45 @500 km/h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9BDBEA" w14:textId="72B76F0E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1x of IMT-2020~ 1000/1200km/h</w:t>
            </w:r>
          </w:p>
          <w:p w14:paraId="6E0C2608" w14:textId="22D7A35D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D5A08B" w14:textId="538436C0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Keep the velocities defined for IMT-2020.</w:t>
            </w:r>
          </w:p>
          <w:p w14:paraId="26DA3B6A" w14:textId="4EFC3C3A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574898C" w14:textId="73D2646F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Should new velocity be added? (up to 1000/1200km/h for airplane)</w:t>
            </w:r>
          </w:p>
          <w:p w14:paraId="60D46337" w14:textId="0693B5D1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ABC522F" w14:textId="750A5257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Should 50% spectrum efficiency be increased for the velocity defined in IMT-2020? e.g. [1.5x] of IMT-2020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681C5F" w14:textId="2F9D9984" w:rsidR="15498E53" w:rsidRPr="00136F21" w:rsidRDefault="15498E53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Keep the velocities defined for IMT-2020 with one change. Divide Vehicular into two categories </w:t>
            </w:r>
            <w:r w:rsidR="7C5E336A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10-60 kmph for city and 60-120 kmph for highway. </w:t>
            </w:r>
          </w:p>
        </w:tc>
      </w:tr>
      <w:tr w:rsidR="2D8A2F85" w14:paraId="41650E75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33306D" w14:textId="700EFB86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Mobility interruption time (ms)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BB5D01" w14:textId="65A8F480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A6C470" w14:textId="560DBBE2" w:rsidR="2D8A2F85" w:rsidRPr="00136F21" w:rsidRDefault="2D8A2F85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0 ms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468EAF" w14:textId="5BCD5119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[0 ms]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F254F4" w14:textId="348D11F6" w:rsidR="512ECECC" w:rsidRPr="00136F21" w:rsidRDefault="512ECECC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0 ms</w:t>
            </w:r>
          </w:p>
        </w:tc>
      </w:tr>
      <w:tr w:rsidR="2D8A2F85" w14:paraId="772D75B0" w14:textId="77777777" w:rsidTr="00850C1D">
        <w:trPr>
          <w:trHeight w:val="300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26499E" w14:textId="52529D01" w:rsidR="2D8A2F85" w:rsidRPr="00136F21" w:rsidRDefault="2D8A2F85" w:rsidP="2D8A2F85">
            <w:pPr>
              <w:spacing w:after="120"/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Bandwidth (MHz)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238181" w14:textId="32A475A9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82A306" w14:textId="3741F695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200MHz or 400MHz</w:t>
            </w:r>
          </w:p>
        </w:tc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0AB781" w14:textId="0C78AF4C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>400MHz for system bandwidth</w:t>
            </w:r>
          </w:p>
          <w:p w14:paraId="6101C2BD" w14:textId="0BA8395F" w:rsidR="2D8A2F85" w:rsidRPr="00136F21" w:rsidRDefault="2D8A2F85" w:rsidP="2D8A2F85">
            <w:pPr>
              <w:jc w:val="both"/>
              <w:rPr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>(same definition as IMT-2020)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B8CD27" w14:textId="2395BF86" w:rsidR="3C047130" w:rsidRPr="00136F21" w:rsidRDefault="3C047130" w:rsidP="2D8A2F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 MHz </w:t>
            </w:r>
          </w:p>
        </w:tc>
      </w:tr>
    </w:tbl>
    <w:p w14:paraId="62EE06F8" w14:textId="31A83B9E" w:rsidR="003E4A91" w:rsidRDefault="2D8A2F85" w:rsidP="2D8A2F85">
      <w:pPr>
        <w:pStyle w:val="Heading1"/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</w:pPr>
      <w:r w:rsidRPr="2D8A2F85">
        <w:rPr>
          <w:rFonts w:ascii="Times New Roman" w:eastAsia="Times New Roman" w:hAnsi="Times New Roman" w:cs="Times New Roman"/>
          <w:color w:val="auto"/>
          <w:lang w:val="en-GB"/>
        </w:rPr>
        <w:t xml:space="preserve">3. </w:t>
      </w:r>
      <w:r w:rsidR="05C49D69" w:rsidRPr="2D8A2F85">
        <w:rPr>
          <w:rFonts w:ascii="Times New Roman" w:eastAsia="Times New Roman" w:hAnsi="Times New Roman" w:cs="Times New Roman"/>
          <w:color w:val="auto"/>
          <w:lang w:val="en-GB"/>
        </w:rPr>
        <w:t>Coverage TPR – Definition and Evaluation Options</w:t>
      </w:r>
    </w:p>
    <w:p w14:paraId="560DF91C" w14:textId="184CEBDB" w:rsidR="003E4A91" w:rsidRPr="00136F21" w:rsidRDefault="42998532" w:rsidP="2D8A2F85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</w:pP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Our goal for coverage is increased and improved terrestrial coverage with larger cells. We envision terrestrial coverage to be an </w:t>
      </w:r>
      <w:r w:rsidR="35E9CEAB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important 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component of </w:t>
      </w:r>
      <w:r w:rsidR="0C8BE348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U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biquitous </w:t>
      </w:r>
      <w:r w:rsidR="1E43511E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C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onnectivity</w:t>
      </w:r>
      <w:r w:rsidR="3D6B6164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,</w:t>
      </w:r>
      <w:r w:rsidR="146B4F3E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and it should evolve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with every new generation</w:t>
      </w:r>
      <w:r w:rsidR="73BF90F2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. In IMT 2030</w:t>
      </w:r>
      <w:r w:rsidR="6F8EAA22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, TN will be 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complemented by NTN wherever terrestrial coverage is missing.</w:t>
      </w:r>
      <w:r w:rsidR="006E2EE5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TN is expected to provide coverage to 95% of the population and with a higher user experienced data rate and cell edge data rate than NTN.</w:t>
      </w:r>
    </w:p>
    <w:p w14:paraId="2C078E63" w14:textId="2559DB47" w:rsidR="003E4A91" w:rsidRPr="00136F21" w:rsidRDefault="42998532" w:rsidP="2D8A2F85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</w:pP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While NTN can be a big driver for serving under connected areas where there is not much habitation</w:t>
      </w:r>
      <w:r w:rsidR="751FE753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of people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, we strongly believe that enhanced terrestrial coverage is still necessary to serve under connected areas w</w:t>
      </w:r>
      <w:r w:rsidR="58018233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hich do have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significant habitation</w:t>
      </w:r>
      <w:r w:rsidR="233F3176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of people (example: rural areas including villages and small towns</w:t>
      </w:r>
      <w:r w:rsidR="647F5C5F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</w:t>
      </w:r>
      <w:r w:rsidR="0153C160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such as those </w:t>
      </w:r>
      <w:r w:rsidR="647F5C5F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in </w:t>
      </w:r>
      <w:r w:rsidR="3A850BB3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the </w:t>
      </w:r>
      <w:r w:rsidR="647F5C5F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Indian subcontinent</w:t>
      </w:r>
      <w:r w:rsidR="233F3176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).</w:t>
      </w:r>
      <w:r w:rsidR="006E2EE5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NTN is not expected to handle the very large population density seen in rural environment</w:t>
      </w:r>
      <w:r w:rsidR="008F0C0A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s</w:t>
      </w:r>
      <w:r w:rsidR="006E2EE5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of developing countries including India</w:t>
      </w:r>
      <w:r w:rsidR="008F0C0A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,</w:t>
      </w:r>
      <w:r w:rsidR="006E2EE5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and </w:t>
      </w:r>
      <w:r w:rsidR="008F0C0A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is also not expected to </w:t>
      </w:r>
      <w:r w:rsidR="006E2EE5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provide the </w:t>
      </w:r>
      <w:r w:rsidR="00AF62FE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above-mentioned</w:t>
      </w:r>
      <w:r w:rsidR="006E2EE5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user experienced data rate and cell edge data rate.</w:t>
      </w:r>
      <w:r w:rsidR="631B7A16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</w:t>
      </w:r>
      <w:r w:rsidR="233F3176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</w:t>
      </w:r>
    </w:p>
    <w:p w14:paraId="28103614" w14:textId="7BE0A78C" w:rsidR="008F0C0A" w:rsidRPr="00136F21" w:rsidRDefault="008F0C0A" w:rsidP="008F0C0A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</w:pP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One type of deployment that we envision is one with 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sparse deployment of large cells without contiguous multi-cell coverage. We believe that this type of deployment is to offer broadband services and is therefore best suited for a new test environment, which we call Rural-UC. </w:t>
      </w:r>
      <w:r w:rsidR="00850C1D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The evaluation parameters should be revisited (compared to Rural-eMBB in IMT-2020) to include different UE heights and different UE power classes. </w:t>
      </w:r>
    </w:p>
    <w:p w14:paraId="6AB760C1" w14:textId="019AC99A" w:rsidR="281BBD8E" w:rsidRPr="00136F21" w:rsidRDefault="281BBD8E" w:rsidP="2D8A2F85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</w:pP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Th</w:t>
      </w:r>
      <w:r w:rsidR="008F0C0A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is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test environment can be used to e</w:t>
      </w:r>
      <w:r w:rsidR="204B01A6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valuate </w:t>
      </w:r>
      <w:r w:rsidR="008F0C0A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the </w:t>
      </w:r>
      <w:r w:rsidR="204B01A6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coverage TPR, which we define as follows</w:t>
      </w:r>
      <w:r w:rsidR="59C135B7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:</w:t>
      </w:r>
      <w:r w:rsidR="204B01A6"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 xml:space="preserve"> </w:t>
      </w:r>
    </w:p>
    <w:p w14:paraId="7DF7ED11" w14:textId="564E229B" w:rsidR="573E8AC6" w:rsidRDefault="573E8AC6" w:rsidP="2D8A2F85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4B94551A" wp14:editId="13AC1081">
            <wp:extent cx="3736962" cy="2617819"/>
            <wp:effectExtent l="0" t="0" r="0" b="0"/>
            <wp:docPr id="34729226" name="Picture 34729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6962" cy="2617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557E9" w14:textId="4C1C5A52" w:rsidR="30A126BB" w:rsidRDefault="30A126BB" w:rsidP="2D8A2F85">
      <w:pPr>
        <w:spacing w:after="120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2D8A2F85">
        <w:rPr>
          <w:rFonts w:ascii="Times New Roman" w:eastAsia="Times New Roman" w:hAnsi="Times New Roman" w:cs="Times New Roman"/>
          <w:sz w:val="18"/>
          <w:szCs w:val="18"/>
        </w:rPr>
        <w:t>Figure</w:t>
      </w:r>
      <w:r w:rsidR="00136F21">
        <w:rPr>
          <w:rFonts w:ascii="Times New Roman" w:eastAsia="Times New Roman" w:hAnsi="Times New Roman" w:cs="Times New Roman"/>
          <w:sz w:val="18"/>
          <w:szCs w:val="18"/>
        </w:rPr>
        <w:t xml:space="preserve"> 1</w:t>
      </w:r>
      <w:r w:rsidRPr="2D8A2F85">
        <w:rPr>
          <w:rFonts w:ascii="Times New Roman" w:eastAsia="Times New Roman" w:hAnsi="Times New Roman" w:cs="Times New Roman"/>
          <w:sz w:val="18"/>
          <w:szCs w:val="18"/>
        </w:rPr>
        <w:t>: Rural</w:t>
      </w:r>
      <w:r w:rsidR="0F29EE7A" w:rsidRPr="2D8A2F85">
        <w:rPr>
          <w:rFonts w:ascii="Times New Roman" w:eastAsia="Times New Roman" w:hAnsi="Times New Roman" w:cs="Times New Roman"/>
          <w:sz w:val="18"/>
          <w:szCs w:val="18"/>
        </w:rPr>
        <w:t>-</w:t>
      </w:r>
      <w:r w:rsidRPr="2D8A2F85">
        <w:rPr>
          <w:rFonts w:ascii="Times New Roman" w:eastAsia="Times New Roman" w:hAnsi="Times New Roman" w:cs="Times New Roman"/>
          <w:sz w:val="18"/>
          <w:szCs w:val="18"/>
        </w:rPr>
        <w:t>UC test environment covering multiple small villages</w:t>
      </w:r>
      <w:r w:rsidR="2717EEE0" w:rsidRPr="2D8A2F85">
        <w:rPr>
          <w:rFonts w:ascii="Times New Roman" w:eastAsia="Times New Roman" w:hAnsi="Times New Roman" w:cs="Times New Roman"/>
          <w:sz w:val="18"/>
          <w:szCs w:val="18"/>
        </w:rPr>
        <w:t xml:space="preserve"> with </w:t>
      </w:r>
      <w:r w:rsidR="14D92304" w:rsidRPr="2D8A2F85">
        <w:rPr>
          <w:rFonts w:ascii="Times New Roman" w:eastAsia="Times New Roman" w:hAnsi="Times New Roman" w:cs="Times New Roman"/>
          <w:sz w:val="18"/>
          <w:szCs w:val="18"/>
        </w:rPr>
        <w:t xml:space="preserve">a </w:t>
      </w:r>
      <w:r w:rsidR="2717EEE0" w:rsidRPr="2D8A2F85">
        <w:rPr>
          <w:rFonts w:ascii="Times New Roman" w:eastAsia="Times New Roman" w:hAnsi="Times New Roman" w:cs="Times New Roman"/>
          <w:sz w:val="18"/>
          <w:szCs w:val="18"/>
        </w:rPr>
        <w:t>large standalone cell.</w:t>
      </w:r>
    </w:p>
    <w:p w14:paraId="55E9A6D9" w14:textId="3E6B1400" w:rsidR="1061BF17" w:rsidRPr="00136F21" w:rsidRDefault="1061BF17" w:rsidP="2D8A2F85">
      <w:pPr>
        <w:spacing w:after="120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Coverage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refers to the ability to provide access to communication services for users in a desired service area. In this context, communication services can be characterized by requirements such as Avg spectral efficiency, 5</w:t>
      </w:r>
      <w:r w:rsidRPr="00136F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percentile spectral efficiency or simply an SNR value. The desired service area is characterized by the cell edge distance of a single cell. </w:t>
      </w:r>
    </w:p>
    <w:p w14:paraId="2CB9E765" w14:textId="0143E4C8" w:rsidR="1061BF17" w:rsidRPr="00136F21" w:rsidRDefault="1061BF17" w:rsidP="2D8A2F85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This requirement is defined for the purpose of evaluation in the Ubiquitous Connectivity Usage Scenario and Rural-UC test environment. </w:t>
      </w:r>
    </w:p>
    <w:p w14:paraId="468DEA7F" w14:textId="046F8F2F" w:rsidR="1061BF17" w:rsidRPr="00136F21" w:rsidRDefault="1061BF17" w:rsidP="2D8A2F85">
      <w:pPr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21"/>
        <w:gridCol w:w="3870"/>
      </w:tblGrid>
      <w:tr w:rsidR="2D8A2F85" w:rsidRPr="00136F21" w14:paraId="46B82660" w14:textId="77777777" w:rsidTr="2D8A2F85">
        <w:trPr>
          <w:trHeight w:val="165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008D3B" w14:textId="5FEA3B6A" w:rsidR="2D8A2F85" w:rsidRPr="00136F21" w:rsidRDefault="2D8A2F85" w:rsidP="2D8A2F85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Test Environment</w:t>
            </w:r>
          </w:p>
        </w:tc>
        <w:tc>
          <w:tcPr>
            <w:tcW w:w="3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BA2B62" w14:textId="188D862D" w:rsidR="2D8A2F85" w:rsidRPr="00136F21" w:rsidRDefault="2D8A2F85" w:rsidP="2D8A2F85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Cell Edge Distance</w:t>
            </w:r>
          </w:p>
        </w:tc>
      </w:tr>
      <w:tr w:rsidR="2D8A2F85" w:rsidRPr="00136F21" w14:paraId="5EE33238" w14:textId="77777777" w:rsidTr="2D8A2F85">
        <w:trPr>
          <w:trHeight w:val="345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852DCC" w14:textId="3E1438A1" w:rsidR="2D8A2F85" w:rsidRPr="00136F21" w:rsidRDefault="2D8A2F85" w:rsidP="2D8A2F8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Rural-UC (Large cells sparsely located)</w:t>
            </w:r>
          </w:p>
        </w:tc>
        <w:tc>
          <w:tcPr>
            <w:tcW w:w="3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32F3F2" w14:textId="7FB7EEB7" w:rsidR="67080FAB" w:rsidRPr="00136F21" w:rsidRDefault="67080FAB" w:rsidP="2D8A2F8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&gt;=</w:t>
            </w:r>
            <w:r w:rsidR="2D8A2F85" w:rsidRPr="00136F21">
              <w:rPr>
                <w:rFonts w:ascii="Times New Roman" w:eastAsia="Times New Roman" w:hAnsi="Times New Roman" w:cs="Times New Roman"/>
                <w:sz w:val="20"/>
                <w:szCs w:val="20"/>
              </w:rPr>
              <w:t>7 km (corresponding to an ISD of 12 km)</w:t>
            </w:r>
          </w:p>
        </w:tc>
      </w:tr>
    </w:tbl>
    <w:p w14:paraId="2D3862C1" w14:textId="28A64F63" w:rsidR="1061BF17" w:rsidRPr="00136F21" w:rsidRDefault="1061BF17" w:rsidP="2D8A2F85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102ED49" w14:textId="0A82AF42" w:rsidR="1061BF17" w:rsidRPr="00136F21" w:rsidRDefault="1061BF17" w:rsidP="2D8A2F85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Note 1: Avg spectral efficiency</w:t>
      </w:r>
      <w:r w:rsidR="308858CE" w:rsidRPr="00136F2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136F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percentile spectral efficiency</w:t>
      </w:r>
      <w:r w:rsidR="457EAACA" w:rsidRPr="00136F21">
        <w:rPr>
          <w:rFonts w:ascii="Times New Roman" w:eastAsia="Times New Roman" w:hAnsi="Times New Roman" w:cs="Times New Roman"/>
          <w:sz w:val="20"/>
          <w:szCs w:val="20"/>
        </w:rPr>
        <w:t xml:space="preserve"> or SNR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are provided as evaluation configurations. </w:t>
      </w:r>
    </w:p>
    <w:p w14:paraId="5C7A471F" w14:textId="07276AD8" w:rsidR="1061BF17" w:rsidRPr="00136F21" w:rsidRDefault="1061BF17" w:rsidP="2D8A2F85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Note 2: Cell edge distances beyond the minimum requirement of 7 km, if supported, should be reported.</w:t>
      </w:r>
    </w:p>
    <w:p w14:paraId="617A47A8" w14:textId="56E7660B" w:rsidR="084323B2" w:rsidRPr="00136F21" w:rsidRDefault="084323B2" w:rsidP="2D8A2F85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There are two options for the evaluation methodology of the Coverage TPR. </w:t>
      </w:r>
    </w:p>
    <w:p w14:paraId="045B0D10" w14:textId="7B784720" w:rsidR="084323B2" w:rsidRPr="00136F21" w:rsidRDefault="084323B2" w:rsidP="2D8A2F85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136F21">
        <w:rPr>
          <w:rFonts w:ascii="Times New Roman" w:eastAsia="Times New Roman" w:hAnsi="Times New Roman" w:cs="Times New Roman"/>
          <w:sz w:val="20"/>
          <w:szCs w:val="20"/>
          <w:u w:val="single"/>
        </w:rPr>
        <w:t>Option 1: System level simulations</w:t>
      </w:r>
      <w:r w:rsidRPr="00136F21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</w:p>
    <w:p w14:paraId="6E489098" w14:textId="296FA7CF" w:rsidR="084323B2" w:rsidRPr="00136F21" w:rsidRDefault="084323B2" w:rsidP="2D8A2F85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Run </w:t>
      </w:r>
      <w:r w:rsidR="008F0C0A" w:rsidRPr="00136F21">
        <w:rPr>
          <w:rFonts w:ascii="Times New Roman" w:eastAsia="Times New Roman" w:hAnsi="Times New Roman" w:cs="Times New Roman"/>
          <w:sz w:val="20"/>
          <w:szCs w:val="20"/>
        </w:rPr>
        <w:t xml:space="preserve">a single cell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SLS with a cell radius of 7 km and/or more</w:t>
      </w:r>
      <w:r w:rsidR="008F0C0A" w:rsidRPr="00136F21">
        <w:rPr>
          <w:rFonts w:ascii="Times New Roman" w:eastAsia="Times New Roman" w:hAnsi="Times New Roman" w:cs="Times New Roman"/>
          <w:sz w:val="20"/>
          <w:szCs w:val="20"/>
        </w:rPr>
        <w:t xml:space="preserve"> and with multiple drops.</w:t>
      </w:r>
    </w:p>
    <w:p w14:paraId="357A77C1" w14:textId="27E5C00C" w:rsidR="084323B2" w:rsidRPr="00136F21" w:rsidRDefault="084323B2" w:rsidP="2D8A2F8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Obtain the Avg SE and 5</w:t>
      </w:r>
      <w:r w:rsidRPr="00136F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percentile SE values</w:t>
      </w:r>
    </w:p>
    <w:p w14:paraId="49D00CE2" w14:textId="5D6C9D34" w:rsidR="084323B2" w:rsidRPr="00136F21" w:rsidRDefault="084323B2" w:rsidP="2D8A2F8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Compare against the configured </w:t>
      </w:r>
      <w:r w:rsidR="3D44FFC8" w:rsidRPr="00136F21">
        <w:rPr>
          <w:rFonts w:ascii="Times New Roman" w:eastAsia="Times New Roman" w:hAnsi="Times New Roman" w:cs="Times New Roman"/>
          <w:sz w:val="20"/>
          <w:szCs w:val="20"/>
        </w:rPr>
        <w:t xml:space="preserve">expected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values of Avg SE and 5</w:t>
      </w:r>
      <w:r w:rsidRPr="00136F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percentile SE</w:t>
      </w:r>
      <w:r w:rsidR="1C35B348" w:rsidRPr="00136F21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A8F40D9" w14:textId="075BBD32" w:rsidR="1C35B348" w:rsidRPr="00136F21" w:rsidRDefault="1C35B348" w:rsidP="2D8A2F8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If </w:t>
      </w:r>
      <w:r w:rsidR="13E63EE4" w:rsidRPr="00136F21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selected cell radius satisfies </w:t>
      </w:r>
      <w:r w:rsidR="073F267E" w:rsidRPr="00136F21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expected Avg SE and 5</w:t>
      </w:r>
      <w:r w:rsidRPr="00136F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percentile </w:t>
      </w:r>
      <w:r w:rsidR="7FAC0FB4" w:rsidRPr="00136F21">
        <w:rPr>
          <w:rFonts w:ascii="Times New Roman" w:eastAsia="Times New Roman" w:hAnsi="Times New Roman" w:cs="Times New Roman"/>
          <w:sz w:val="20"/>
          <w:szCs w:val="20"/>
        </w:rPr>
        <w:t>SE,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then </w:t>
      </w:r>
      <w:r w:rsidR="702FB43F" w:rsidRPr="00136F21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RIT </w:t>
      </w:r>
      <w:r w:rsidR="194C5C7F" w:rsidRPr="00136F21">
        <w:rPr>
          <w:rFonts w:ascii="Times New Roman" w:eastAsia="Times New Roman" w:hAnsi="Times New Roman" w:cs="Times New Roman"/>
          <w:sz w:val="20"/>
          <w:szCs w:val="20"/>
        </w:rPr>
        <w:t>satisfies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the coverage TPR</w:t>
      </w:r>
    </w:p>
    <w:p w14:paraId="04D1833A" w14:textId="067869C9" w:rsidR="084323B2" w:rsidRPr="00136F21" w:rsidRDefault="084323B2" w:rsidP="2D8A2F85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136F21">
        <w:rPr>
          <w:rFonts w:ascii="Times New Roman" w:eastAsia="Times New Roman" w:hAnsi="Times New Roman" w:cs="Times New Roman"/>
          <w:sz w:val="20"/>
          <w:szCs w:val="20"/>
          <w:u w:val="single"/>
        </w:rPr>
        <w:t>Option 2: Link level simulations</w:t>
      </w:r>
    </w:p>
    <w:p w14:paraId="2989004C" w14:textId="07657597" w:rsidR="7B1418E0" w:rsidRPr="00136F21" w:rsidRDefault="7B1418E0" w:rsidP="2D8A2F85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Using link budget analysis, obtain the SNR at cell edge distance of 7</w:t>
      </w:r>
      <w:r w:rsidR="00850C1D" w:rsidRPr="00136F2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km and/or more</w:t>
      </w:r>
    </w:p>
    <w:p w14:paraId="64E875AC" w14:textId="340746A2" w:rsidR="7B1418E0" w:rsidRPr="00136F21" w:rsidRDefault="7B1418E0" w:rsidP="2D8A2F85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Compare against the configured </w:t>
      </w:r>
      <w:r w:rsidR="6E1683EA" w:rsidRPr="00136F21">
        <w:rPr>
          <w:rFonts w:ascii="Times New Roman" w:eastAsia="Times New Roman" w:hAnsi="Times New Roman" w:cs="Times New Roman"/>
          <w:sz w:val="20"/>
          <w:szCs w:val="20"/>
        </w:rPr>
        <w:t xml:space="preserve">expected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SNR value</w:t>
      </w:r>
    </w:p>
    <w:p w14:paraId="2C270138" w14:textId="40FC98D7" w:rsidR="09495DDD" w:rsidRPr="00136F21" w:rsidRDefault="09495DDD" w:rsidP="2D8A2F85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If </w:t>
      </w:r>
      <w:r w:rsidR="7B288E5F" w:rsidRPr="00136F21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selected cell radius satisfies expected </w:t>
      </w:r>
      <w:r w:rsidR="5CF11063" w:rsidRPr="00136F21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SNR, then </w:t>
      </w:r>
      <w:r w:rsidR="6592B8B5" w:rsidRPr="00136F21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RIT satisfies the coverage TPR</w:t>
      </w:r>
    </w:p>
    <w:p w14:paraId="3A0211B7" w14:textId="367B967E" w:rsidR="2D8A2F85" w:rsidRDefault="00850C1D" w:rsidP="00850C1D">
      <w:pPr>
        <w:pStyle w:val="Heading1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lang w:val="en-GB"/>
        </w:rPr>
      </w:pPr>
      <w:r>
        <w:rPr>
          <w:rFonts w:ascii="Times New Roman" w:eastAsia="Times New Roman" w:hAnsi="Times New Roman" w:cs="Times New Roman"/>
          <w:color w:val="auto"/>
          <w:lang w:val="en-GB"/>
        </w:rPr>
        <w:lastRenderedPageBreak/>
        <w:t>Conclusion</w:t>
      </w:r>
    </w:p>
    <w:p w14:paraId="7277DB83" w14:textId="439A8062" w:rsidR="00850C1D" w:rsidRPr="00136F21" w:rsidRDefault="00850C1D" w:rsidP="00850C1D">
      <w:pPr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136F2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Proposal 1:</w:t>
      </w:r>
      <w:r w:rsidRPr="00136F2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30A85" w:rsidRPr="00136F21">
        <w:rPr>
          <w:rFonts w:ascii="Times New Roman" w:hAnsi="Times New Roman" w:cs="Times New Roman"/>
          <w:sz w:val="20"/>
          <w:szCs w:val="20"/>
          <w:lang w:val="en-GB"/>
        </w:rPr>
        <w:t>Consider the target values presented in column 5 of Table 1, towards the discussion on legacy TPR values.</w:t>
      </w:r>
    </w:p>
    <w:p w14:paraId="315F6D69" w14:textId="7E7A9ECC" w:rsidR="00A30A85" w:rsidRPr="00136F21" w:rsidRDefault="00A30A85" w:rsidP="00850C1D">
      <w:pPr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Proposal 2:</w:t>
      </w:r>
      <w:r w:rsidRPr="00136F2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For peak data rate calculations, t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he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RIT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proponent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shall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report the bandwidth used in the calculation.</w:t>
      </w:r>
    </w:p>
    <w:p w14:paraId="03060B7D" w14:textId="45A8FF4D" w:rsidR="00DE018A" w:rsidRPr="00136F21" w:rsidRDefault="00DE018A" w:rsidP="00850C1D">
      <w:pPr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136F2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Proposal 3:</w:t>
      </w:r>
      <w:r w:rsidRPr="00136F21">
        <w:rPr>
          <w:rFonts w:ascii="Times New Roman" w:hAnsi="Times New Roman" w:cs="Times New Roman"/>
          <w:sz w:val="20"/>
          <w:szCs w:val="20"/>
          <w:lang w:val="en-GB"/>
        </w:rPr>
        <w:t xml:space="preserve"> For </w:t>
      </w:r>
      <w:r w:rsidR="00136F21" w:rsidRPr="00136F21">
        <w:rPr>
          <w:rFonts w:ascii="Times New Roman" w:hAnsi="Times New Roman" w:cs="Times New Roman"/>
          <w:sz w:val="20"/>
          <w:szCs w:val="20"/>
          <w:lang w:val="en-GB"/>
        </w:rPr>
        <w:t>test environments related to</w:t>
      </w:r>
      <w:r w:rsidRPr="00136F21">
        <w:rPr>
          <w:rFonts w:ascii="Times New Roman" w:hAnsi="Times New Roman" w:cs="Times New Roman"/>
          <w:sz w:val="20"/>
          <w:szCs w:val="20"/>
          <w:lang w:val="en-GB"/>
        </w:rPr>
        <w:t xml:space="preserve"> Ubiquitous Connectivity</w:t>
      </w:r>
      <w:r w:rsidR="00136F21" w:rsidRPr="00136F21">
        <w:rPr>
          <w:rFonts w:ascii="Times New Roman" w:hAnsi="Times New Roman" w:cs="Times New Roman"/>
          <w:sz w:val="20"/>
          <w:szCs w:val="20"/>
          <w:lang w:val="en-GB"/>
        </w:rPr>
        <w:t>, lower values compared to IMT-2020 should be considered for the following TPRs: User Experienced Data Rate, Avg Spectral Efficiency and 5</w:t>
      </w:r>
      <w:r w:rsidR="00136F21" w:rsidRPr="00136F21">
        <w:rPr>
          <w:rFonts w:ascii="Times New Roman" w:hAnsi="Times New Roman" w:cs="Times New Roman"/>
          <w:sz w:val="20"/>
          <w:szCs w:val="20"/>
          <w:vertAlign w:val="superscript"/>
          <w:lang w:val="en-GB"/>
        </w:rPr>
        <w:t>th</w:t>
      </w:r>
      <w:r w:rsidR="00136F21" w:rsidRPr="00136F21">
        <w:rPr>
          <w:rFonts w:ascii="Times New Roman" w:hAnsi="Times New Roman" w:cs="Times New Roman"/>
          <w:sz w:val="20"/>
          <w:szCs w:val="20"/>
          <w:lang w:val="en-GB"/>
        </w:rPr>
        <w:t xml:space="preserve"> Percentile Spectral Efficiency.</w:t>
      </w:r>
    </w:p>
    <w:p w14:paraId="45D8CBD3" w14:textId="6EC4D732" w:rsidR="00136F21" w:rsidRPr="00136F21" w:rsidRDefault="00136F21" w:rsidP="00850C1D">
      <w:pPr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Proposal 4:</w:t>
      </w:r>
      <w:r w:rsidRPr="00136F2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andwidth scaling can be applied in scenarios where the bands being aggregated are in the same frequency range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2E0779A9" w14:textId="51E3C462" w:rsidR="00136F21" w:rsidRDefault="00136F21" w:rsidP="00850C1D">
      <w:pPr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136F2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Proposal 5:</w:t>
      </w:r>
      <w:r w:rsidRPr="00136F2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136F21">
        <w:rPr>
          <w:rFonts w:ascii="Times New Roman" w:hAnsi="Times New Roman" w:cs="Times New Roman"/>
          <w:sz w:val="20"/>
          <w:szCs w:val="20"/>
          <w:lang w:val="en-GB"/>
        </w:rPr>
        <w:t>For the Ubiquitous Connectivity usage scenario, the study should consider coverage, 5th percentile and average spectral efficiency as TPRs. A new test environment should be defined for Ubiquitous Connectivity which includes at least the Rural geographical area, with an emphasis on large cells.</w:t>
      </w:r>
    </w:p>
    <w:p w14:paraId="4F1A5658" w14:textId="50D21FDC" w:rsidR="00136F21" w:rsidRDefault="00136F21" w:rsidP="00850C1D">
      <w:pPr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Proposal 6: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Rural geographies should be included in a new test environment called Rural-UC for the evaluation of TPRs related to Ubiquitous Connectivity. The Rural-UC test environment should include the </w:t>
      </w:r>
      <w:r w:rsidRPr="00136F2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sparse deployment of large cells without contiguous multi-cell coverage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as shown in Figure 1. </w:t>
      </w:r>
    </w:p>
    <w:p w14:paraId="195BF5C4" w14:textId="1763887D" w:rsidR="00873766" w:rsidRDefault="00873766" w:rsidP="00850C1D">
      <w:pPr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Proposal 7: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873766">
        <w:rPr>
          <w:rFonts w:ascii="Times New Roman" w:hAnsi="Times New Roman" w:cs="Times New Roman"/>
          <w:sz w:val="20"/>
          <w:szCs w:val="20"/>
          <w:lang w:val="en-GB"/>
        </w:rPr>
        <w:t xml:space="preserve">The evaluation parameters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3E3D94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Rural-UC </w:t>
      </w:r>
      <w:r w:rsidR="00350A98">
        <w:rPr>
          <w:rFonts w:ascii="Times New Roman" w:hAnsi="Times New Roman" w:cs="Times New Roman"/>
          <w:sz w:val="20"/>
          <w:szCs w:val="20"/>
          <w:lang w:val="en-GB"/>
        </w:rPr>
        <w:t xml:space="preserve">test environment </w:t>
      </w:r>
      <w:r w:rsidRPr="00873766">
        <w:rPr>
          <w:rFonts w:ascii="Times New Roman" w:hAnsi="Times New Roman" w:cs="Times New Roman"/>
          <w:sz w:val="20"/>
          <w:szCs w:val="20"/>
          <w:lang w:val="en-GB"/>
        </w:rPr>
        <w:t>should be revisited (compared to Rural-eMBB in IMT-2020) to include different UE heights and different UE power classes.</w:t>
      </w:r>
    </w:p>
    <w:p w14:paraId="00057F41" w14:textId="543DAA44" w:rsidR="00136F21" w:rsidRDefault="00136F21" w:rsidP="00850C1D">
      <w:pPr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 xml:space="preserve">Proposal </w:t>
      </w:r>
      <w:r w:rsidR="0087376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8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The evaluation of coverage in Rural-UC can be by system level simulation or link level simulation. The details are given below: </w:t>
      </w:r>
    </w:p>
    <w:p w14:paraId="308CB94E" w14:textId="77777777" w:rsidR="00136F21" w:rsidRPr="00136F21" w:rsidRDefault="00136F21" w:rsidP="00136F21">
      <w:pPr>
        <w:spacing w:after="120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136F21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Option 1: System level simulations </w:t>
      </w:r>
    </w:p>
    <w:p w14:paraId="1147FE3C" w14:textId="77777777" w:rsidR="00136F21" w:rsidRDefault="00136F21" w:rsidP="00136F2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Run a single cell SLS with a cell radius of 7 km and/or more and with multiple drops.</w:t>
      </w:r>
    </w:p>
    <w:p w14:paraId="67D24D60" w14:textId="77777777" w:rsidR="00136F21" w:rsidRDefault="00136F21" w:rsidP="00136F2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Obtain the Avg SE and 5</w:t>
      </w:r>
      <w:r w:rsidRPr="00136F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percentile SE values</w:t>
      </w:r>
    </w:p>
    <w:p w14:paraId="185E46C4" w14:textId="77777777" w:rsidR="00136F21" w:rsidRDefault="00136F21" w:rsidP="00136F2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Compare against the configured expected values of Avg SE and 5</w:t>
      </w:r>
      <w:r w:rsidRPr="00136F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percentile SE.</w:t>
      </w:r>
    </w:p>
    <w:p w14:paraId="796C7956" w14:textId="39A55FF0" w:rsidR="00136F21" w:rsidRPr="00136F21" w:rsidRDefault="00136F21" w:rsidP="00136F2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If the selected cell radius satisfies the expected Avg SE and 5</w:t>
      </w:r>
      <w:r w:rsidRPr="00136F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Pr="00136F21">
        <w:rPr>
          <w:rFonts w:ascii="Times New Roman" w:eastAsia="Times New Roman" w:hAnsi="Times New Roman" w:cs="Times New Roman"/>
          <w:sz w:val="20"/>
          <w:szCs w:val="20"/>
        </w:rPr>
        <w:t xml:space="preserve"> percentile SE, then the RIT satisfies the coverage TPR</w:t>
      </w:r>
    </w:p>
    <w:p w14:paraId="5177DDEA" w14:textId="77777777" w:rsidR="00136F21" w:rsidRPr="00136F21" w:rsidRDefault="00136F21" w:rsidP="00136F21">
      <w:pPr>
        <w:spacing w:after="120"/>
        <w:ind w:left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136F21">
        <w:rPr>
          <w:rFonts w:ascii="Times New Roman" w:eastAsia="Times New Roman" w:hAnsi="Times New Roman" w:cs="Times New Roman"/>
          <w:sz w:val="20"/>
          <w:szCs w:val="20"/>
          <w:u w:val="single"/>
        </w:rPr>
        <w:t>Option 2: Link level simulations</w:t>
      </w:r>
    </w:p>
    <w:p w14:paraId="7E8935A4" w14:textId="77777777" w:rsidR="00136F21" w:rsidRPr="00136F21" w:rsidRDefault="00136F21" w:rsidP="00136F21">
      <w:pPr>
        <w:pStyle w:val="ListParagraph"/>
        <w:numPr>
          <w:ilvl w:val="0"/>
          <w:numId w:val="18"/>
        </w:numPr>
        <w:spacing w:after="120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Using link budget analysis, obtain the SNR at cell edge distance of 7 km and/or more</w:t>
      </w:r>
    </w:p>
    <w:p w14:paraId="70DBDA66" w14:textId="77777777" w:rsidR="00136F21" w:rsidRPr="00136F21" w:rsidRDefault="00136F21" w:rsidP="00136F21">
      <w:pPr>
        <w:pStyle w:val="ListParagraph"/>
        <w:numPr>
          <w:ilvl w:val="0"/>
          <w:numId w:val="18"/>
        </w:numPr>
        <w:spacing w:after="120"/>
        <w:ind w:left="108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Compare against the configured expected SNR value</w:t>
      </w:r>
    </w:p>
    <w:p w14:paraId="3D5664A1" w14:textId="77777777" w:rsidR="00136F21" w:rsidRPr="00136F21" w:rsidRDefault="00136F21" w:rsidP="00136F21">
      <w:pPr>
        <w:pStyle w:val="ListParagraph"/>
        <w:numPr>
          <w:ilvl w:val="0"/>
          <w:numId w:val="18"/>
        </w:numPr>
        <w:spacing w:after="120"/>
        <w:ind w:left="108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21">
        <w:rPr>
          <w:rFonts w:ascii="Times New Roman" w:eastAsia="Times New Roman" w:hAnsi="Times New Roman" w:cs="Times New Roman"/>
          <w:sz w:val="20"/>
          <w:szCs w:val="20"/>
        </w:rPr>
        <w:t>If the selected cell radius satisfies expected the SNR, then the RIT satisfies the coverage TPR</w:t>
      </w:r>
    </w:p>
    <w:p w14:paraId="3FFEE464" w14:textId="77777777" w:rsidR="00136F21" w:rsidRPr="00136F21" w:rsidRDefault="00136F21" w:rsidP="00850C1D">
      <w:pPr>
        <w:ind w:left="36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136F21" w:rsidRPr="00136F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Times New Roman&quot;,serif">
    <w:altName w:val="Cambria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507F"/>
    <w:multiLevelType w:val="hybridMultilevel"/>
    <w:tmpl w:val="B0623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63BC"/>
    <w:multiLevelType w:val="hybridMultilevel"/>
    <w:tmpl w:val="9888400C"/>
    <w:lvl w:ilvl="0" w:tplc="5944E31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2FA20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FAC4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EEF2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4297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286D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CC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6679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C53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0C7B8"/>
    <w:multiLevelType w:val="hybridMultilevel"/>
    <w:tmpl w:val="AA76F140"/>
    <w:lvl w:ilvl="0" w:tplc="AF9A37B2">
      <w:start w:val="1"/>
      <w:numFmt w:val="decimal"/>
      <w:lvlText w:val="%1."/>
      <w:lvlJc w:val="left"/>
      <w:pPr>
        <w:ind w:left="720" w:hanging="360"/>
      </w:pPr>
    </w:lvl>
    <w:lvl w:ilvl="1" w:tplc="FB823DEE">
      <w:start w:val="1"/>
      <w:numFmt w:val="lowerLetter"/>
      <w:lvlText w:val="%2."/>
      <w:lvlJc w:val="left"/>
      <w:pPr>
        <w:ind w:left="1440" w:hanging="360"/>
      </w:pPr>
    </w:lvl>
    <w:lvl w:ilvl="2" w:tplc="1E202150">
      <w:start w:val="1"/>
      <w:numFmt w:val="lowerRoman"/>
      <w:lvlText w:val="%3."/>
      <w:lvlJc w:val="right"/>
      <w:pPr>
        <w:ind w:left="2160" w:hanging="180"/>
      </w:pPr>
    </w:lvl>
    <w:lvl w:ilvl="3" w:tplc="6986B3C0">
      <w:start w:val="1"/>
      <w:numFmt w:val="decimal"/>
      <w:lvlText w:val="%4."/>
      <w:lvlJc w:val="left"/>
      <w:pPr>
        <w:ind w:left="2880" w:hanging="360"/>
      </w:pPr>
    </w:lvl>
    <w:lvl w:ilvl="4" w:tplc="423C5FF8">
      <w:start w:val="1"/>
      <w:numFmt w:val="lowerLetter"/>
      <w:lvlText w:val="%5."/>
      <w:lvlJc w:val="left"/>
      <w:pPr>
        <w:ind w:left="3600" w:hanging="360"/>
      </w:pPr>
    </w:lvl>
    <w:lvl w:ilvl="5" w:tplc="420C4558">
      <w:start w:val="1"/>
      <w:numFmt w:val="lowerRoman"/>
      <w:lvlText w:val="%6."/>
      <w:lvlJc w:val="right"/>
      <w:pPr>
        <w:ind w:left="4320" w:hanging="180"/>
      </w:pPr>
    </w:lvl>
    <w:lvl w:ilvl="6" w:tplc="D0606F70">
      <w:start w:val="1"/>
      <w:numFmt w:val="decimal"/>
      <w:lvlText w:val="%7."/>
      <w:lvlJc w:val="left"/>
      <w:pPr>
        <w:ind w:left="5040" w:hanging="360"/>
      </w:pPr>
    </w:lvl>
    <w:lvl w:ilvl="7" w:tplc="BF20C6A6">
      <w:start w:val="1"/>
      <w:numFmt w:val="lowerLetter"/>
      <w:lvlText w:val="%8."/>
      <w:lvlJc w:val="left"/>
      <w:pPr>
        <w:ind w:left="5760" w:hanging="360"/>
      </w:pPr>
    </w:lvl>
    <w:lvl w:ilvl="8" w:tplc="5938258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5C66A"/>
    <w:multiLevelType w:val="hybridMultilevel"/>
    <w:tmpl w:val="0A7489AC"/>
    <w:lvl w:ilvl="0" w:tplc="EAEACE7E">
      <w:start w:val="1"/>
      <w:numFmt w:val="decimal"/>
      <w:lvlText w:val="%1."/>
      <w:lvlJc w:val="left"/>
      <w:pPr>
        <w:ind w:left="360" w:hanging="360"/>
      </w:pPr>
    </w:lvl>
    <w:lvl w:ilvl="1" w:tplc="3872F192">
      <w:start w:val="1"/>
      <w:numFmt w:val="lowerLetter"/>
      <w:lvlText w:val="%2."/>
      <w:lvlJc w:val="left"/>
      <w:pPr>
        <w:ind w:left="1080" w:hanging="360"/>
      </w:pPr>
    </w:lvl>
    <w:lvl w:ilvl="2" w:tplc="28FC9AFA">
      <w:start w:val="1"/>
      <w:numFmt w:val="lowerRoman"/>
      <w:lvlText w:val="%3."/>
      <w:lvlJc w:val="right"/>
      <w:pPr>
        <w:ind w:left="1800" w:hanging="180"/>
      </w:pPr>
    </w:lvl>
    <w:lvl w:ilvl="3" w:tplc="0F9E6212">
      <w:start w:val="1"/>
      <w:numFmt w:val="decimal"/>
      <w:lvlText w:val="%4."/>
      <w:lvlJc w:val="left"/>
      <w:pPr>
        <w:ind w:left="2520" w:hanging="360"/>
      </w:pPr>
    </w:lvl>
    <w:lvl w:ilvl="4" w:tplc="E2268952">
      <w:start w:val="1"/>
      <w:numFmt w:val="lowerLetter"/>
      <w:lvlText w:val="%5."/>
      <w:lvlJc w:val="left"/>
      <w:pPr>
        <w:ind w:left="3240" w:hanging="360"/>
      </w:pPr>
    </w:lvl>
    <w:lvl w:ilvl="5" w:tplc="B0342C3C">
      <w:start w:val="1"/>
      <w:numFmt w:val="lowerRoman"/>
      <w:lvlText w:val="%6."/>
      <w:lvlJc w:val="right"/>
      <w:pPr>
        <w:ind w:left="3960" w:hanging="180"/>
      </w:pPr>
    </w:lvl>
    <w:lvl w:ilvl="6" w:tplc="6A16271A">
      <w:start w:val="1"/>
      <w:numFmt w:val="decimal"/>
      <w:lvlText w:val="%7."/>
      <w:lvlJc w:val="left"/>
      <w:pPr>
        <w:ind w:left="4680" w:hanging="360"/>
      </w:pPr>
    </w:lvl>
    <w:lvl w:ilvl="7" w:tplc="9BDEFA58">
      <w:start w:val="1"/>
      <w:numFmt w:val="lowerLetter"/>
      <w:lvlText w:val="%8."/>
      <w:lvlJc w:val="left"/>
      <w:pPr>
        <w:ind w:left="5400" w:hanging="360"/>
      </w:pPr>
    </w:lvl>
    <w:lvl w:ilvl="8" w:tplc="9232F94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6216D1"/>
    <w:multiLevelType w:val="hybridMultilevel"/>
    <w:tmpl w:val="DD7C5888"/>
    <w:lvl w:ilvl="0" w:tplc="CE7056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440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CAF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9EB0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C2A6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D6B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1E3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C017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2A3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C246A"/>
    <w:multiLevelType w:val="hybridMultilevel"/>
    <w:tmpl w:val="0E80A482"/>
    <w:lvl w:ilvl="0" w:tplc="7E923A10">
      <w:start w:val="1"/>
      <w:numFmt w:val="decimal"/>
      <w:lvlText w:val="%1."/>
      <w:lvlJc w:val="left"/>
      <w:pPr>
        <w:ind w:left="720" w:hanging="360"/>
      </w:pPr>
    </w:lvl>
    <w:lvl w:ilvl="1" w:tplc="CCF8B9A2">
      <w:start w:val="1"/>
      <w:numFmt w:val="lowerLetter"/>
      <w:lvlText w:val="%2."/>
      <w:lvlJc w:val="left"/>
      <w:pPr>
        <w:ind w:left="1440" w:hanging="360"/>
      </w:pPr>
    </w:lvl>
    <w:lvl w:ilvl="2" w:tplc="1D4E9D22">
      <w:start w:val="1"/>
      <w:numFmt w:val="lowerRoman"/>
      <w:lvlText w:val="%3."/>
      <w:lvlJc w:val="right"/>
      <w:pPr>
        <w:ind w:left="2160" w:hanging="180"/>
      </w:pPr>
    </w:lvl>
    <w:lvl w:ilvl="3" w:tplc="C56669C0">
      <w:start w:val="1"/>
      <w:numFmt w:val="decimal"/>
      <w:lvlText w:val="%4."/>
      <w:lvlJc w:val="left"/>
      <w:pPr>
        <w:ind w:left="2880" w:hanging="360"/>
      </w:pPr>
    </w:lvl>
    <w:lvl w:ilvl="4" w:tplc="7A3E2050">
      <w:start w:val="1"/>
      <w:numFmt w:val="lowerLetter"/>
      <w:lvlText w:val="%5."/>
      <w:lvlJc w:val="left"/>
      <w:pPr>
        <w:ind w:left="3600" w:hanging="360"/>
      </w:pPr>
    </w:lvl>
    <w:lvl w:ilvl="5" w:tplc="E864FDD4">
      <w:start w:val="1"/>
      <w:numFmt w:val="lowerRoman"/>
      <w:lvlText w:val="%6."/>
      <w:lvlJc w:val="right"/>
      <w:pPr>
        <w:ind w:left="4320" w:hanging="180"/>
      </w:pPr>
    </w:lvl>
    <w:lvl w:ilvl="6" w:tplc="3AA07DD8">
      <w:start w:val="1"/>
      <w:numFmt w:val="decimal"/>
      <w:lvlText w:val="%7."/>
      <w:lvlJc w:val="left"/>
      <w:pPr>
        <w:ind w:left="5040" w:hanging="360"/>
      </w:pPr>
    </w:lvl>
    <w:lvl w:ilvl="7" w:tplc="3CECB58E">
      <w:start w:val="1"/>
      <w:numFmt w:val="lowerLetter"/>
      <w:lvlText w:val="%8."/>
      <w:lvlJc w:val="left"/>
      <w:pPr>
        <w:ind w:left="5760" w:hanging="360"/>
      </w:pPr>
    </w:lvl>
    <w:lvl w:ilvl="8" w:tplc="9BC8AF7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FB27"/>
    <w:multiLevelType w:val="hybridMultilevel"/>
    <w:tmpl w:val="102CDA62"/>
    <w:lvl w:ilvl="0" w:tplc="872C4C08">
      <w:start w:val="1"/>
      <w:numFmt w:val="decimal"/>
      <w:lvlText w:val="%1."/>
      <w:lvlJc w:val="left"/>
      <w:pPr>
        <w:ind w:left="720" w:hanging="360"/>
      </w:pPr>
    </w:lvl>
    <w:lvl w:ilvl="1" w:tplc="66E85C1C">
      <w:start w:val="1"/>
      <w:numFmt w:val="lowerLetter"/>
      <w:lvlText w:val="%2."/>
      <w:lvlJc w:val="left"/>
      <w:pPr>
        <w:ind w:left="1440" w:hanging="360"/>
      </w:pPr>
    </w:lvl>
    <w:lvl w:ilvl="2" w:tplc="2D081844">
      <w:start w:val="1"/>
      <w:numFmt w:val="lowerRoman"/>
      <w:lvlText w:val="%3."/>
      <w:lvlJc w:val="right"/>
      <w:pPr>
        <w:ind w:left="2160" w:hanging="180"/>
      </w:pPr>
    </w:lvl>
    <w:lvl w:ilvl="3" w:tplc="331AFDFA">
      <w:start w:val="1"/>
      <w:numFmt w:val="decimal"/>
      <w:lvlText w:val="%4."/>
      <w:lvlJc w:val="left"/>
      <w:pPr>
        <w:ind w:left="2880" w:hanging="360"/>
      </w:pPr>
    </w:lvl>
    <w:lvl w:ilvl="4" w:tplc="1FA441BC">
      <w:start w:val="1"/>
      <w:numFmt w:val="lowerLetter"/>
      <w:lvlText w:val="%5."/>
      <w:lvlJc w:val="left"/>
      <w:pPr>
        <w:ind w:left="3600" w:hanging="360"/>
      </w:pPr>
    </w:lvl>
    <w:lvl w:ilvl="5" w:tplc="350EEA10">
      <w:start w:val="1"/>
      <w:numFmt w:val="lowerRoman"/>
      <w:lvlText w:val="%6."/>
      <w:lvlJc w:val="right"/>
      <w:pPr>
        <w:ind w:left="4320" w:hanging="180"/>
      </w:pPr>
    </w:lvl>
    <w:lvl w:ilvl="6" w:tplc="F0C69082">
      <w:start w:val="1"/>
      <w:numFmt w:val="decimal"/>
      <w:lvlText w:val="%7."/>
      <w:lvlJc w:val="left"/>
      <w:pPr>
        <w:ind w:left="5040" w:hanging="360"/>
      </w:pPr>
    </w:lvl>
    <w:lvl w:ilvl="7" w:tplc="602CEEA0">
      <w:start w:val="1"/>
      <w:numFmt w:val="lowerLetter"/>
      <w:lvlText w:val="%8."/>
      <w:lvlJc w:val="left"/>
      <w:pPr>
        <w:ind w:left="5760" w:hanging="360"/>
      </w:pPr>
    </w:lvl>
    <w:lvl w:ilvl="8" w:tplc="1F44FBB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BA4B2"/>
    <w:multiLevelType w:val="hybridMultilevel"/>
    <w:tmpl w:val="B1EC21B6"/>
    <w:lvl w:ilvl="0" w:tplc="886C222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A26A74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4EF80BF4">
      <w:start w:val="1"/>
      <w:numFmt w:val="bullet"/>
      <w:lvlText w:val="§"/>
      <w:lvlJc w:val="left"/>
      <w:pPr>
        <w:ind w:left="2160" w:hanging="360"/>
      </w:pPr>
      <w:rPr>
        <w:rFonts w:ascii="Symbol" w:hAnsi="Symbol" w:hint="default"/>
      </w:rPr>
    </w:lvl>
    <w:lvl w:ilvl="3" w:tplc="E7961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5211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2E1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FE4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00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7A94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5ACB3"/>
    <w:multiLevelType w:val="hybridMultilevel"/>
    <w:tmpl w:val="DF02EE60"/>
    <w:lvl w:ilvl="0" w:tplc="830CD1AA">
      <w:start w:val="1"/>
      <w:numFmt w:val="decimal"/>
      <w:lvlText w:val="%1."/>
      <w:lvlJc w:val="left"/>
      <w:pPr>
        <w:ind w:left="720" w:hanging="360"/>
      </w:pPr>
    </w:lvl>
    <w:lvl w:ilvl="1" w:tplc="221033C0">
      <w:start w:val="1"/>
      <w:numFmt w:val="lowerLetter"/>
      <w:lvlText w:val="%2."/>
      <w:lvlJc w:val="left"/>
      <w:pPr>
        <w:ind w:left="1440" w:hanging="360"/>
      </w:pPr>
    </w:lvl>
    <w:lvl w:ilvl="2" w:tplc="B2EC8CBC">
      <w:start w:val="1"/>
      <w:numFmt w:val="lowerRoman"/>
      <w:lvlText w:val="%3."/>
      <w:lvlJc w:val="right"/>
      <w:pPr>
        <w:ind w:left="2160" w:hanging="180"/>
      </w:pPr>
    </w:lvl>
    <w:lvl w:ilvl="3" w:tplc="97AC399E">
      <w:start w:val="1"/>
      <w:numFmt w:val="decimal"/>
      <w:lvlText w:val="%4."/>
      <w:lvlJc w:val="left"/>
      <w:pPr>
        <w:ind w:left="2880" w:hanging="360"/>
      </w:pPr>
    </w:lvl>
    <w:lvl w:ilvl="4" w:tplc="C54EC930">
      <w:start w:val="1"/>
      <w:numFmt w:val="lowerLetter"/>
      <w:lvlText w:val="%5."/>
      <w:lvlJc w:val="left"/>
      <w:pPr>
        <w:ind w:left="3600" w:hanging="360"/>
      </w:pPr>
    </w:lvl>
    <w:lvl w:ilvl="5" w:tplc="BE4A9C8A">
      <w:start w:val="1"/>
      <w:numFmt w:val="lowerRoman"/>
      <w:lvlText w:val="%6."/>
      <w:lvlJc w:val="right"/>
      <w:pPr>
        <w:ind w:left="4320" w:hanging="180"/>
      </w:pPr>
    </w:lvl>
    <w:lvl w:ilvl="6" w:tplc="CB287D0E">
      <w:start w:val="1"/>
      <w:numFmt w:val="decimal"/>
      <w:lvlText w:val="%7."/>
      <w:lvlJc w:val="left"/>
      <w:pPr>
        <w:ind w:left="5040" w:hanging="360"/>
      </w:pPr>
    </w:lvl>
    <w:lvl w:ilvl="7" w:tplc="26A4B41A">
      <w:start w:val="1"/>
      <w:numFmt w:val="lowerLetter"/>
      <w:lvlText w:val="%8."/>
      <w:lvlJc w:val="left"/>
      <w:pPr>
        <w:ind w:left="5760" w:hanging="360"/>
      </w:pPr>
    </w:lvl>
    <w:lvl w:ilvl="8" w:tplc="CA78E0E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B6603"/>
    <w:multiLevelType w:val="hybridMultilevel"/>
    <w:tmpl w:val="B0623EFE"/>
    <w:lvl w:ilvl="0" w:tplc="E384C01C">
      <w:start w:val="1"/>
      <w:numFmt w:val="decimal"/>
      <w:lvlText w:val="%1."/>
      <w:lvlJc w:val="left"/>
      <w:pPr>
        <w:ind w:left="720" w:hanging="360"/>
      </w:pPr>
    </w:lvl>
    <w:lvl w:ilvl="1" w:tplc="63D41954">
      <w:start w:val="1"/>
      <w:numFmt w:val="lowerLetter"/>
      <w:lvlText w:val="%2."/>
      <w:lvlJc w:val="left"/>
      <w:pPr>
        <w:ind w:left="1440" w:hanging="360"/>
      </w:pPr>
    </w:lvl>
    <w:lvl w:ilvl="2" w:tplc="058E813C">
      <w:start w:val="1"/>
      <w:numFmt w:val="lowerRoman"/>
      <w:lvlText w:val="%3."/>
      <w:lvlJc w:val="right"/>
      <w:pPr>
        <w:ind w:left="2160" w:hanging="180"/>
      </w:pPr>
    </w:lvl>
    <w:lvl w:ilvl="3" w:tplc="428EABEE">
      <w:start w:val="1"/>
      <w:numFmt w:val="decimal"/>
      <w:lvlText w:val="%4."/>
      <w:lvlJc w:val="left"/>
      <w:pPr>
        <w:ind w:left="2880" w:hanging="360"/>
      </w:pPr>
    </w:lvl>
    <w:lvl w:ilvl="4" w:tplc="7A6613D0">
      <w:start w:val="1"/>
      <w:numFmt w:val="lowerLetter"/>
      <w:lvlText w:val="%5."/>
      <w:lvlJc w:val="left"/>
      <w:pPr>
        <w:ind w:left="3600" w:hanging="360"/>
      </w:pPr>
    </w:lvl>
    <w:lvl w:ilvl="5" w:tplc="7B9A347E">
      <w:start w:val="1"/>
      <w:numFmt w:val="lowerRoman"/>
      <w:lvlText w:val="%6."/>
      <w:lvlJc w:val="right"/>
      <w:pPr>
        <w:ind w:left="4320" w:hanging="180"/>
      </w:pPr>
    </w:lvl>
    <w:lvl w:ilvl="6" w:tplc="41C48DC4">
      <w:start w:val="1"/>
      <w:numFmt w:val="decimal"/>
      <w:lvlText w:val="%7."/>
      <w:lvlJc w:val="left"/>
      <w:pPr>
        <w:ind w:left="5040" w:hanging="360"/>
      </w:pPr>
    </w:lvl>
    <w:lvl w:ilvl="7" w:tplc="0230324E">
      <w:start w:val="1"/>
      <w:numFmt w:val="lowerLetter"/>
      <w:lvlText w:val="%8."/>
      <w:lvlJc w:val="left"/>
      <w:pPr>
        <w:ind w:left="5760" w:hanging="360"/>
      </w:pPr>
    </w:lvl>
    <w:lvl w:ilvl="8" w:tplc="38C65E0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2888C"/>
    <w:multiLevelType w:val="hybridMultilevel"/>
    <w:tmpl w:val="D5584B1C"/>
    <w:lvl w:ilvl="0" w:tplc="FA2E48F2">
      <w:start w:val="1"/>
      <w:numFmt w:val="decimal"/>
      <w:lvlText w:val="%1."/>
      <w:lvlJc w:val="left"/>
      <w:pPr>
        <w:ind w:left="720" w:hanging="360"/>
      </w:pPr>
    </w:lvl>
    <w:lvl w:ilvl="1" w:tplc="C0ECC74A">
      <w:start w:val="1"/>
      <w:numFmt w:val="lowerLetter"/>
      <w:lvlText w:val="%2."/>
      <w:lvlJc w:val="left"/>
      <w:pPr>
        <w:ind w:left="1440" w:hanging="360"/>
      </w:pPr>
    </w:lvl>
    <w:lvl w:ilvl="2" w:tplc="1C900956">
      <w:start w:val="1"/>
      <w:numFmt w:val="lowerRoman"/>
      <w:lvlText w:val="%3."/>
      <w:lvlJc w:val="right"/>
      <w:pPr>
        <w:ind w:left="2160" w:hanging="180"/>
      </w:pPr>
    </w:lvl>
    <w:lvl w:ilvl="3" w:tplc="88468988">
      <w:start w:val="1"/>
      <w:numFmt w:val="decimal"/>
      <w:lvlText w:val="%4."/>
      <w:lvlJc w:val="left"/>
      <w:pPr>
        <w:ind w:left="2880" w:hanging="360"/>
      </w:pPr>
    </w:lvl>
    <w:lvl w:ilvl="4" w:tplc="A708512C">
      <w:start w:val="1"/>
      <w:numFmt w:val="lowerLetter"/>
      <w:lvlText w:val="%5."/>
      <w:lvlJc w:val="left"/>
      <w:pPr>
        <w:ind w:left="3600" w:hanging="360"/>
      </w:pPr>
    </w:lvl>
    <w:lvl w:ilvl="5" w:tplc="8550BDC0">
      <w:start w:val="1"/>
      <w:numFmt w:val="lowerRoman"/>
      <w:lvlText w:val="%6."/>
      <w:lvlJc w:val="right"/>
      <w:pPr>
        <w:ind w:left="4320" w:hanging="180"/>
      </w:pPr>
    </w:lvl>
    <w:lvl w:ilvl="6" w:tplc="0F2C56EC">
      <w:start w:val="1"/>
      <w:numFmt w:val="decimal"/>
      <w:lvlText w:val="%7."/>
      <w:lvlJc w:val="left"/>
      <w:pPr>
        <w:ind w:left="5040" w:hanging="360"/>
      </w:pPr>
    </w:lvl>
    <w:lvl w:ilvl="7" w:tplc="FC200ABE">
      <w:start w:val="1"/>
      <w:numFmt w:val="lowerLetter"/>
      <w:lvlText w:val="%8."/>
      <w:lvlJc w:val="left"/>
      <w:pPr>
        <w:ind w:left="5760" w:hanging="360"/>
      </w:pPr>
    </w:lvl>
    <w:lvl w:ilvl="8" w:tplc="6360C5B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CDF25"/>
    <w:multiLevelType w:val="hybridMultilevel"/>
    <w:tmpl w:val="6B02CE72"/>
    <w:lvl w:ilvl="0" w:tplc="8BDE3006">
      <w:start w:val="1"/>
      <w:numFmt w:val="decimal"/>
      <w:lvlText w:val="%1."/>
      <w:lvlJc w:val="left"/>
      <w:pPr>
        <w:ind w:left="720" w:hanging="360"/>
      </w:pPr>
    </w:lvl>
    <w:lvl w:ilvl="1" w:tplc="DC44A532">
      <w:start w:val="1"/>
      <w:numFmt w:val="lowerLetter"/>
      <w:lvlText w:val="%2."/>
      <w:lvlJc w:val="left"/>
      <w:pPr>
        <w:ind w:left="1440" w:hanging="360"/>
      </w:pPr>
    </w:lvl>
    <w:lvl w:ilvl="2" w:tplc="103C1F88">
      <w:start w:val="1"/>
      <w:numFmt w:val="lowerRoman"/>
      <w:lvlText w:val="%3."/>
      <w:lvlJc w:val="right"/>
      <w:pPr>
        <w:ind w:left="2160" w:hanging="180"/>
      </w:pPr>
    </w:lvl>
    <w:lvl w:ilvl="3" w:tplc="0D664B26">
      <w:start w:val="1"/>
      <w:numFmt w:val="decimal"/>
      <w:lvlText w:val="%4."/>
      <w:lvlJc w:val="left"/>
      <w:pPr>
        <w:ind w:left="2880" w:hanging="360"/>
      </w:pPr>
    </w:lvl>
    <w:lvl w:ilvl="4" w:tplc="6470892E">
      <w:start w:val="1"/>
      <w:numFmt w:val="lowerLetter"/>
      <w:lvlText w:val="%5."/>
      <w:lvlJc w:val="left"/>
      <w:pPr>
        <w:ind w:left="3600" w:hanging="360"/>
      </w:pPr>
    </w:lvl>
    <w:lvl w:ilvl="5" w:tplc="28B4EEA0">
      <w:start w:val="1"/>
      <w:numFmt w:val="lowerRoman"/>
      <w:lvlText w:val="%6."/>
      <w:lvlJc w:val="right"/>
      <w:pPr>
        <w:ind w:left="4320" w:hanging="180"/>
      </w:pPr>
    </w:lvl>
    <w:lvl w:ilvl="6" w:tplc="F98E53AE">
      <w:start w:val="1"/>
      <w:numFmt w:val="decimal"/>
      <w:lvlText w:val="%7."/>
      <w:lvlJc w:val="left"/>
      <w:pPr>
        <w:ind w:left="5040" w:hanging="360"/>
      </w:pPr>
    </w:lvl>
    <w:lvl w:ilvl="7" w:tplc="BA5AA20E">
      <w:start w:val="1"/>
      <w:numFmt w:val="lowerLetter"/>
      <w:lvlText w:val="%8."/>
      <w:lvlJc w:val="left"/>
      <w:pPr>
        <w:ind w:left="5760" w:hanging="360"/>
      </w:pPr>
    </w:lvl>
    <w:lvl w:ilvl="8" w:tplc="89A4D0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8A0A1"/>
    <w:multiLevelType w:val="hybridMultilevel"/>
    <w:tmpl w:val="9E048428"/>
    <w:lvl w:ilvl="0" w:tplc="51CEAD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3EA0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2EEC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27F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F0A1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16C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088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0D8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6A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34658"/>
    <w:multiLevelType w:val="hybridMultilevel"/>
    <w:tmpl w:val="BBFC4420"/>
    <w:lvl w:ilvl="0" w:tplc="0C9284CA">
      <w:start w:val="2"/>
      <w:numFmt w:val="decimal"/>
      <w:lvlText w:val="%1."/>
      <w:lvlJc w:val="left"/>
      <w:pPr>
        <w:ind w:left="720" w:hanging="360"/>
      </w:pPr>
    </w:lvl>
    <w:lvl w:ilvl="1" w:tplc="B6961A8A">
      <w:start w:val="1"/>
      <w:numFmt w:val="lowerLetter"/>
      <w:lvlText w:val="%2."/>
      <w:lvlJc w:val="left"/>
      <w:pPr>
        <w:ind w:left="1440" w:hanging="360"/>
      </w:pPr>
    </w:lvl>
    <w:lvl w:ilvl="2" w:tplc="691CB686">
      <w:start w:val="1"/>
      <w:numFmt w:val="lowerRoman"/>
      <w:lvlText w:val="%3."/>
      <w:lvlJc w:val="right"/>
      <w:pPr>
        <w:ind w:left="2160" w:hanging="180"/>
      </w:pPr>
    </w:lvl>
    <w:lvl w:ilvl="3" w:tplc="B9BA9A32">
      <w:start w:val="1"/>
      <w:numFmt w:val="decimal"/>
      <w:lvlText w:val="%4."/>
      <w:lvlJc w:val="left"/>
      <w:pPr>
        <w:ind w:left="2880" w:hanging="360"/>
      </w:pPr>
    </w:lvl>
    <w:lvl w:ilvl="4" w:tplc="EC2E40F6">
      <w:start w:val="1"/>
      <w:numFmt w:val="lowerLetter"/>
      <w:lvlText w:val="%5."/>
      <w:lvlJc w:val="left"/>
      <w:pPr>
        <w:ind w:left="3600" w:hanging="360"/>
      </w:pPr>
    </w:lvl>
    <w:lvl w:ilvl="5" w:tplc="AD0E9B36">
      <w:start w:val="1"/>
      <w:numFmt w:val="lowerRoman"/>
      <w:lvlText w:val="%6."/>
      <w:lvlJc w:val="right"/>
      <w:pPr>
        <w:ind w:left="4320" w:hanging="180"/>
      </w:pPr>
    </w:lvl>
    <w:lvl w:ilvl="6" w:tplc="12A21A9C">
      <w:start w:val="1"/>
      <w:numFmt w:val="decimal"/>
      <w:lvlText w:val="%7."/>
      <w:lvlJc w:val="left"/>
      <w:pPr>
        <w:ind w:left="5040" w:hanging="360"/>
      </w:pPr>
    </w:lvl>
    <w:lvl w:ilvl="7" w:tplc="53708226">
      <w:start w:val="1"/>
      <w:numFmt w:val="lowerLetter"/>
      <w:lvlText w:val="%8."/>
      <w:lvlJc w:val="left"/>
      <w:pPr>
        <w:ind w:left="5760" w:hanging="360"/>
      </w:pPr>
    </w:lvl>
    <w:lvl w:ilvl="8" w:tplc="7DCCA0C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CEE29"/>
    <w:multiLevelType w:val="hybridMultilevel"/>
    <w:tmpl w:val="6E2C123C"/>
    <w:lvl w:ilvl="0" w:tplc="098CB698">
      <w:start w:val="1"/>
      <w:numFmt w:val="decimal"/>
      <w:lvlText w:val="%1."/>
      <w:lvlJc w:val="left"/>
      <w:pPr>
        <w:ind w:left="720" w:hanging="360"/>
      </w:pPr>
    </w:lvl>
    <w:lvl w:ilvl="1" w:tplc="7900925E">
      <w:start w:val="1"/>
      <w:numFmt w:val="lowerLetter"/>
      <w:lvlText w:val="%2."/>
      <w:lvlJc w:val="left"/>
      <w:pPr>
        <w:ind w:left="1440" w:hanging="360"/>
      </w:pPr>
    </w:lvl>
    <w:lvl w:ilvl="2" w:tplc="C9B25F6A">
      <w:start w:val="1"/>
      <w:numFmt w:val="lowerRoman"/>
      <w:lvlText w:val="%3."/>
      <w:lvlJc w:val="right"/>
      <w:pPr>
        <w:ind w:left="2160" w:hanging="180"/>
      </w:pPr>
    </w:lvl>
    <w:lvl w:ilvl="3" w:tplc="FC888854">
      <w:start w:val="1"/>
      <w:numFmt w:val="decimal"/>
      <w:lvlText w:val="%4."/>
      <w:lvlJc w:val="left"/>
      <w:pPr>
        <w:ind w:left="2880" w:hanging="360"/>
      </w:pPr>
    </w:lvl>
    <w:lvl w:ilvl="4" w:tplc="6FD6C5E8">
      <w:start w:val="1"/>
      <w:numFmt w:val="lowerLetter"/>
      <w:lvlText w:val="%5."/>
      <w:lvlJc w:val="left"/>
      <w:pPr>
        <w:ind w:left="3600" w:hanging="360"/>
      </w:pPr>
    </w:lvl>
    <w:lvl w:ilvl="5" w:tplc="F2EA7BBA">
      <w:start w:val="1"/>
      <w:numFmt w:val="lowerRoman"/>
      <w:lvlText w:val="%6."/>
      <w:lvlJc w:val="right"/>
      <w:pPr>
        <w:ind w:left="4320" w:hanging="180"/>
      </w:pPr>
    </w:lvl>
    <w:lvl w:ilvl="6" w:tplc="EE6C66CC">
      <w:start w:val="1"/>
      <w:numFmt w:val="decimal"/>
      <w:lvlText w:val="%7."/>
      <w:lvlJc w:val="left"/>
      <w:pPr>
        <w:ind w:left="5040" w:hanging="360"/>
      </w:pPr>
    </w:lvl>
    <w:lvl w:ilvl="7" w:tplc="1042F8AA">
      <w:start w:val="1"/>
      <w:numFmt w:val="lowerLetter"/>
      <w:lvlText w:val="%8."/>
      <w:lvlJc w:val="left"/>
      <w:pPr>
        <w:ind w:left="5760" w:hanging="360"/>
      </w:pPr>
    </w:lvl>
    <w:lvl w:ilvl="8" w:tplc="45A2B26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00D8C"/>
    <w:multiLevelType w:val="hybridMultilevel"/>
    <w:tmpl w:val="C5747040"/>
    <w:lvl w:ilvl="0" w:tplc="B754A68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9A8D9C"/>
    <w:multiLevelType w:val="hybridMultilevel"/>
    <w:tmpl w:val="7D5A5A46"/>
    <w:lvl w:ilvl="0" w:tplc="C7906B90">
      <w:start w:val="1"/>
      <w:numFmt w:val="decimal"/>
      <w:lvlText w:val="%1."/>
      <w:lvlJc w:val="left"/>
      <w:pPr>
        <w:ind w:left="720" w:hanging="360"/>
      </w:pPr>
    </w:lvl>
    <w:lvl w:ilvl="1" w:tplc="F6F0039E">
      <w:start w:val="1"/>
      <w:numFmt w:val="lowerLetter"/>
      <w:lvlText w:val="%2."/>
      <w:lvlJc w:val="left"/>
      <w:pPr>
        <w:ind w:left="1440" w:hanging="360"/>
      </w:pPr>
    </w:lvl>
    <w:lvl w:ilvl="2" w:tplc="32763B08">
      <w:start w:val="1"/>
      <w:numFmt w:val="lowerRoman"/>
      <w:lvlText w:val="%3."/>
      <w:lvlJc w:val="right"/>
      <w:pPr>
        <w:ind w:left="2160" w:hanging="180"/>
      </w:pPr>
    </w:lvl>
    <w:lvl w:ilvl="3" w:tplc="16B21E70">
      <w:start w:val="1"/>
      <w:numFmt w:val="decimal"/>
      <w:lvlText w:val="%4."/>
      <w:lvlJc w:val="left"/>
      <w:pPr>
        <w:ind w:left="2880" w:hanging="360"/>
      </w:pPr>
    </w:lvl>
    <w:lvl w:ilvl="4" w:tplc="1B9202CA">
      <w:start w:val="1"/>
      <w:numFmt w:val="lowerLetter"/>
      <w:lvlText w:val="%5."/>
      <w:lvlJc w:val="left"/>
      <w:pPr>
        <w:ind w:left="3600" w:hanging="360"/>
      </w:pPr>
    </w:lvl>
    <w:lvl w:ilvl="5" w:tplc="7B9EBD7C">
      <w:start w:val="1"/>
      <w:numFmt w:val="lowerRoman"/>
      <w:lvlText w:val="%6."/>
      <w:lvlJc w:val="right"/>
      <w:pPr>
        <w:ind w:left="4320" w:hanging="180"/>
      </w:pPr>
    </w:lvl>
    <w:lvl w:ilvl="6" w:tplc="AE84A0DC">
      <w:start w:val="1"/>
      <w:numFmt w:val="decimal"/>
      <w:lvlText w:val="%7."/>
      <w:lvlJc w:val="left"/>
      <w:pPr>
        <w:ind w:left="5040" w:hanging="360"/>
      </w:pPr>
    </w:lvl>
    <w:lvl w:ilvl="7" w:tplc="AE3CC11A">
      <w:start w:val="1"/>
      <w:numFmt w:val="lowerLetter"/>
      <w:lvlText w:val="%8."/>
      <w:lvlJc w:val="left"/>
      <w:pPr>
        <w:ind w:left="5760" w:hanging="360"/>
      </w:pPr>
    </w:lvl>
    <w:lvl w:ilvl="8" w:tplc="7386664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6F2B0C"/>
    <w:multiLevelType w:val="hybridMultilevel"/>
    <w:tmpl w:val="F530FD16"/>
    <w:lvl w:ilvl="0" w:tplc="CA3AAAD0">
      <w:start w:val="1"/>
      <w:numFmt w:val="decimal"/>
      <w:lvlText w:val="%1."/>
      <w:lvlJc w:val="left"/>
      <w:pPr>
        <w:ind w:left="720" w:hanging="360"/>
      </w:pPr>
    </w:lvl>
    <w:lvl w:ilvl="1" w:tplc="6E343F9C">
      <w:start w:val="1"/>
      <w:numFmt w:val="lowerLetter"/>
      <w:lvlText w:val="%2."/>
      <w:lvlJc w:val="left"/>
      <w:pPr>
        <w:ind w:left="1440" w:hanging="360"/>
      </w:pPr>
    </w:lvl>
    <w:lvl w:ilvl="2" w:tplc="9726156A">
      <w:start w:val="1"/>
      <w:numFmt w:val="lowerRoman"/>
      <w:lvlText w:val="%3."/>
      <w:lvlJc w:val="right"/>
      <w:pPr>
        <w:ind w:left="2160" w:hanging="180"/>
      </w:pPr>
    </w:lvl>
    <w:lvl w:ilvl="3" w:tplc="FDD47166">
      <w:start w:val="1"/>
      <w:numFmt w:val="decimal"/>
      <w:lvlText w:val="%4."/>
      <w:lvlJc w:val="left"/>
      <w:pPr>
        <w:ind w:left="2880" w:hanging="360"/>
      </w:pPr>
    </w:lvl>
    <w:lvl w:ilvl="4" w:tplc="BF70C64C">
      <w:start w:val="1"/>
      <w:numFmt w:val="lowerLetter"/>
      <w:lvlText w:val="%5."/>
      <w:lvlJc w:val="left"/>
      <w:pPr>
        <w:ind w:left="3600" w:hanging="360"/>
      </w:pPr>
    </w:lvl>
    <w:lvl w:ilvl="5" w:tplc="E15AE60C">
      <w:start w:val="1"/>
      <w:numFmt w:val="lowerRoman"/>
      <w:lvlText w:val="%6."/>
      <w:lvlJc w:val="right"/>
      <w:pPr>
        <w:ind w:left="4320" w:hanging="180"/>
      </w:pPr>
    </w:lvl>
    <w:lvl w:ilvl="6" w:tplc="20E08062">
      <w:start w:val="1"/>
      <w:numFmt w:val="decimal"/>
      <w:lvlText w:val="%7."/>
      <w:lvlJc w:val="left"/>
      <w:pPr>
        <w:ind w:left="5040" w:hanging="360"/>
      </w:pPr>
    </w:lvl>
    <w:lvl w:ilvl="7" w:tplc="8E50273C">
      <w:start w:val="1"/>
      <w:numFmt w:val="lowerLetter"/>
      <w:lvlText w:val="%8."/>
      <w:lvlJc w:val="left"/>
      <w:pPr>
        <w:ind w:left="5760" w:hanging="360"/>
      </w:pPr>
    </w:lvl>
    <w:lvl w:ilvl="8" w:tplc="7D6E6532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68561">
    <w:abstractNumId w:val="9"/>
  </w:num>
  <w:num w:numId="2" w16cid:durableId="1998606186">
    <w:abstractNumId w:val="14"/>
  </w:num>
  <w:num w:numId="3" w16cid:durableId="1822500996">
    <w:abstractNumId w:val="10"/>
  </w:num>
  <w:num w:numId="4" w16cid:durableId="1820808115">
    <w:abstractNumId w:val="1"/>
  </w:num>
  <w:num w:numId="5" w16cid:durableId="255990089">
    <w:abstractNumId w:val="6"/>
  </w:num>
  <w:num w:numId="6" w16cid:durableId="1825007012">
    <w:abstractNumId w:val="8"/>
  </w:num>
  <w:num w:numId="7" w16cid:durableId="1911192173">
    <w:abstractNumId w:val="16"/>
  </w:num>
  <w:num w:numId="8" w16cid:durableId="1116291760">
    <w:abstractNumId w:val="17"/>
  </w:num>
  <w:num w:numId="9" w16cid:durableId="784420095">
    <w:abstractNumId w:val="13"/>
  </w:num>
  <w:num w:numId="10" w16cid:durableId="815222673">
    <w:abstractNumId w:val="12"/>
  </w:num>
  <w:num w:numId="11" w16cid:durableId="1912962940">
    <w:abstractNumId w:val="7"/>
  </w:num>
  <w:num w:numId="12" w16cid:durableId="1436514677">
    <w:abstractNumId w:val="2"/>
  </w:num>
  <w:num w:numId="13" w16cid:durableId="1876698626">
    <w:abstractNumId w:val="5"/>
  </w:num>
  <w:num w:numId="14" w16cid:durableId="1032726388">
    <w:abstractNumId w:val="3"/>
  </w:num>
  <w:num w:numId="15" w16cid:durableId="1967000962">
    <w:abstractNumId w:val="11"/>
  </w:num>
  <w:num w:numId="16" w16cid:durableId="219946023">
    <w:abstractNumId w:val="4"/>
  </w:num>
  <w:num w:numId="17" w16cid:durableId="1840123276">
    <w:abstractNumId w:val="15"/>
  </w:num>
  <w:num w:numId="18" w16cid:durableId="184551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ABB34E"/>
    <w:rsid w:val="00042A15"/>
    <w:rsid w:val="000C7684"/>
    <w:rsid w:val="00136F21"/>
    <w:rsid w:val="002268F6"/>
    <w:rsid w:val="002554FF"/>
    <w:rsid w:val="00350A98"/>
    <w:rsid w:val="003D60D4"/>
    <w:rsid w:val="003E3D94"/>
    <w:rsid w:val="003E4A91"/>
    <w:rsid w:val="006E2EE5"/>
    <w:rsid w:val="00850C1D"/>
    <w:rsid w:val="00873766"/>
    <w:rsid w:val="008F0C0A"/>
    <w:rsid w:val="00A30A85"/>
    <w:rsid w:val="00A71F4F"/>
    <w:rsid w:val="00AD0085"/>
    <w:rsid w:val="00AF62FE"/>
    <w:rsid w:val="00D14D27"/>
    <w:rsid w:val="00DE018A"/>
    <w:rsid w:val="0153C160"/>
    <w:rsid w:val="0167A916"/>
    <w:rsid w:val="01F77F36"/>
    <w:rsid w:val="02AE0F11"/>
    <w:rsid w:val="02F7C37B"/>
    <w:rsid w:val="03513727"/>
    <w:rsid w:val="05416EBF"/>
    <w:rsid w:val="05C49D69"/>
    <w:rsid w:val="066B0037"/>
    <w:rsid w:val="067C9A95"/>
    <w:rsid w:val="06BF72B1"/>
    <w:rsid w:val="0726C491"/>
    <w:rsid w:val="073F267E"/>
    <w:rsid w:val="07768502"/>
    <w:rsid w:val="07C715AF"/>
    <w:rsid w:val="080202C9"/>
    <w:rsid w:val="084323B2"/>
    <w:rsid w:val="085C6A92"/>
    <w:rsid w:val="08CF52E6"/>
    <w:rsid w:val="09495DDD"/>
    <w:rsid w:val="0B5BEA40"/>
    <w:rsid w:val="0BC9DC71"/>
    <w:rsid w:val="0C8BE348"/>
    <w:rsid w:val="0D4A3209"/>
    <w:rsid w:val="0D98293F"/>
    <w:rsid w:val="0DCE7585"/>
    <w:rsid w:val="0DDC24B6"/>
    <w:rsid w:val="0F29EE7A"/>
    <w:rsid w:val="1061BF17"/>
    <w:rsid w:val="10EC627B"/>
    <w:rsid w:val="111A7A55"/>
    <w:rsid w:val="115368E4"/>
    <w:rsid w:val="1225EF64"/>
    <w:rsid w:val="12372581"/>
    <w:rsid w:val="12640EEB"/>
    <w:rsid w:val="135CD1CA"/>
    <w:rsid w:val="13E63EE4"/>
    <w:rsid w:val="145DE64B"/>
    <w:rsid w:val="146B4F3E"/>
    <w:rsid w:val="14A473F9"/>
    <w:rsid w:val="14D5D9D2"/>
    <w:rsid w:val="14D92304"/>
    <w:rsid w:val="15498E53"/>
    <w:rsid w:val="16393C9C"/>
    <w:rsid w:val="194C5C7F"/>
    <w:rsid w:val="1A0133B6"/>
    <w:rsid w:val="1AAA905B"/>
    <w:rsid w:val="1AD8BB12"/>
    <w:rsid w:val="1AF8097A"/>
    <w:rsid w:val="1B7A2CCC"/>
    <w:rsid w:val="1BBAA882"/>
    <w:rsid w:val="1BE3E206"/>
    <w:rsid w:val="1C35B348"/>
    <w:rsid w:val="1E43511E"/>
    <w:rsid w:val="1E72A2D5"/>
    <w:rsid w:val="1FC88F45"/>
    <w:rsid w:val="204B01A6"/>
    <w:rsid w:val="207573DF"/>
    <w:rsid w:val="20923041"/>
    <w:rsid w:val="21384AC4"/>
    <w:rsid w:val="21D10D88"/>
    <w:rsid w:val="227AB470"/>
    <w:rsid w:val="233F3176"/>
    <w:rsid w:val="2342CC48"/>
    <w:rsid w:val="2398E16D"/>
    <w:rsid w:val="23FE50A7"/>
    <w:rsid w:val="243F7DEA"/>
    <w:rsid w:val="24872460"/>
    <w:rsid w:val="24A6E443"/>
    <w:rsid w:val="24FFF73B"/>
    <w:rsid w:val="2526B321"/>
    <w:rsid w:val="2539483E"/>
    <w:rsid w:val="25722E64"/>
    <w:rsid w:val="2717EEE0"/>
    <w:rsid w:val="281BBD8E"/>
    <w:rsid w:val="29E4EC02"/>
    <w:rsid w:val="29F80097"/>
    <w:rsid w:val="2A519B20"/>
    <w:rsid w:val="2A834BD8"/>
    <w:rsid w:val="2BABB34E"/>
    <w:rsid w:val="2D0F24C1"/>
    <w:rsid w:val="2D49CBAC"/>
    <w:rsid w:val="2D8A2F85"/>
    <w:rsid w:val="2DA79393"/>
    <w:rsid w:val="2E0CE0B2"/>
    <w:rsid w:val="2E6B7528"/>
    <w:rsid w:val="2E8F1A52"/>
    <w:rsid w:val="3024064B"/>
    <w:rsid w:val="308858CE"/>
    <w:rsid w:val="30A126BB"/>
    <w:rsid w:val="30A9DF1C"/>
    <w:rsid w:val="3108F554"/>
    <w:rsid w:val="31871FF9"/>
    <w:rsid w:val="3202CCB6"/>
    <w:rsid w:val="32680C39"/>
    <w:rsid w:val="326861D6"/>
    <w:rsid w:val="327781A3"/>
    <w:rsid w:val="335CF2B5"/>
    <w:rsid w:val="35063B5A"/>
    <w:rsid w:val="35E9CEAB"/>
    <w:rsid w:val="380C633B"/>
    <w:rsid w:val="39646DCB"/>
    <w:rsid w:val="3A46C3E2"/>
    <w:rsid w:val="3A850BB3"/>
    <w:rsid w:val="3A9232AF"/>
    <w:rsid w:val="3B37A3B9"/>
    <w:rsid w:val="3BDBA865"/>
    <w:rsid w:val="3BE849CA"/>
    <w:rsid w:val="3C047130"/>
    <w:rsid w:val="3C988C17"/>
    <w:rsid w:val="3D44FFC8"/>
    <w:rsid w:val="3D6026BF"/>
    <w:rsid w:val="3D6B6164"/>
    <w:rsid w:val="3E3AA05B"/>
    <w:rsid w:val="3E773408"/>
    <w:rsid w:val="3E7940ED"/>
    <w:rsid w:val="3EEB35EF"/>
    <w:rsid w:val="3FEF4D92"/>
    <w:rsid w:val="40E0A1A9"/>
    <w:rsid w:val="417E698E"/>
    <w:rsid w:val="41B2F28A"/>
    <w:rsid w:val="421AAEF9"/>
    <w:rsid w:val="421D39D9"/>
    <w:rsid w:val="42998532"/>
    <w:rsid w:val="42AC2CCE"/>
    <w:rsid w:val="457EAACA"/>
    <w:rsid w:val="474407B0"/>
    <w:rsid w:val="48BCA476"/>
    <w:rsid w:val="48E39652"/>
    <w:rsid w:val="4BD84296"/>
    <w:rsid w:val="4C4619EC"/>
    <w:rsid w:val="4D018143"/>
    <w:rsid w:val="4D044D00"/>
    <w:rsid w:val="4E55DEF0"/>
    <w:rsid w:val="4E99BB70"/>
    <w:rsid w:val="5060A418"/>
    <w:rsid w:val="50E7E3D9"/>
    <w:rsid w:val="512ECECC"/>
    <w:rsid w:val="5244BB23"/>
    <w:rsid w:val="52EC4F12"/>
    <w:rsid w:val="536A794F"/>
    <w:rsid w:val="552ABC7C"/>
    <w:rsid w:val="56E4B097"/>
    <w:rsid w:val="573E8AC6"/>
    <w:rsid w:val="574A9DE4"/>
    <w:rsid w:val="57BBD673"/>
    <w:rsid w:val="58018233"/>
    <w:rsid w:val="58B340E3"/>
    <w:rsid w:val="58E553D9"/>
    <w:rsid w:val="58EAD65A"/>
    <w:rsid w:val="59917374"/>
    <w:rsid w:val="59C135B7"/>
    <w:rsid w:val="59C1EB54"/>
    <w:rsid w:val="59CC71BC"/>
    <w:rsid w:val="5A2FB3AD"/>
    <w:rsid w:val="5AAD675E"/>
    <w:rsid w:val="5CF11063"/>
    <w:rsid w:val="5D1D747B"/>
    <w:rsid w:val="5F2241B9"/>
    <w:rsid w:val="5FCBBEC3"/>
    <w:rsid w:val="5FE71F96"/>
    <w:rsid w:val="609EFE10"/>
    <w:rsid w:val="60C2308B"/>
    <w:rsid w:val="622931D9"/>
    <w:rsid w:val="62EA2094"/>
    <w:rsid w:val="631B7A16"/>
    <w:rsid w:val="637A8E82"/>
    <w:rsid w:val="63AD7A6B"/>
    <w:rsid w:val="6437FA40"/>
    <w:rsid w:val="647F5C5F"/>
    <w:rsid w:val="6592B8B5"/>
    <w:rsid w:val="666FE86B"/>
    <w:rsid w:val="6680C8D2"/>
    <w:rsid w:val="67080FAB"/>
    <w:rsid w:val="675A8147"/>
    <w:rsid w:val="680B009D"/>
    <w:rsid w:val="699C7D4B"/>
    <w:rsid w:val="6A5C9050"/>
    <w:rsid w:val="6A9C2E8E"/>
    <w:rsid w:val="6C1C36BC"/>
    <w:rsid w:val="6DDFC1A0"/>
    <w:rsid w:val="6E1683EA"/>
    <w:rsid w:val="6E53622E"/>
    <w:rsid w:val="6F8EAA22"/>
    <w:rsid w:val="702FB43F"/>
    <w:rsid w:val="704EC600"/>
    <w:rsid w:val="72668372"/>
    <w:rsid w:val="735E9C34"/>
    <w:rsid w:val="73660DEC"/>
    <w:rsid w:val="737AB12E"/>
    <w:rsid w:val="73BF90F2"/>
    <w:rsid w:val="7451B329"/>
    <w:rsid w:val="75088275"/>
    <w:rsid w:val="751F5B96"/>
    <w:rsid w:val="751FE753"/>
    <w:rsid w:val="758457AA"/>
    <w:rsid w:val="76457ABF"/>
    <w:rsid w:val="76D0E175"/>
    <w:rsid w:val="77C14422"/>
    <w:rsid w:val="77EDB65C"/>
    <w:rsid w:val="78DA8866"/>
    <w:rsid w:val="7A2B21C5"/>
    <w:rsid w:val="7A6CA5D2"/>
    <w:rsid w:val="7AC3D0A7"/>
    <w:rsid w:val="7B1418E0"/>
    <w:rsid w:val="7B288E5F"/>
    <w:rsid w:val="7BC5465F"/>
    <w:rsid w:val="7BC62FCD"/>
    <w:rsid w:val="7C5E336A"/>
    <w:rsid w:val="7C93CA61"/>
    <w:rsid w:val="7CFD7A8D"/>
    <w:rsid w:val="7D459186"/>
    <w:rsid w:val="7D4C36ED"/>
    <w:rsid w:val="7E01314C"/>
    <w:rsid w:val="7E563183"/>
    <w:rsid w:val="7E65C3AE"/>
    <w:rsid w:val="7E6DFD1B"/>
    <w:rsid w:val="7EBFFE5F"/>
    <w:rsid w:val="7FAC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BB34E"/>
  <w15:chartTrackingRefBased/>
  <w15:docId w15:val="{2BF8F646-2850-4925-B47D-9ED1F504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2D8A2F85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2E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2E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2E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2E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2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EE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71F4F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850C1D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Masal, CEWiT</dc:creator>
  <cp:keywords/>
  <dc:description/>
  <cp:lastModifiedBy>IIT Madras</cp:lastModifiedBy>
  <cp:revision>30</cp:revision>
  <dcterms:created xsi:type="dcterms:W3CDTF">2025-04-24T10:33:00Z</dcterms:created>
  <dcterms:modified xsi:type="dcterms:W3CDTF">2025-04-24T16:46:00Z</dcterms:modified>
</cp:coreProperties>
</file>